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BC43" w14:textId="77777777" w:rsidR="002C0B4E" w:rsidRPr="002C0B4E" w:rsidRDefault="002C0B4E" w:rsidP="00CF5E7B">
      <w:pPr>
        <w:tabs>
          <w:tab w:val="right" w:pos="9360"/>
        </w:tabs>
        <w:spacing w:after="0" w:line="240" w:lineRule="auto"/>
        <w:jc w:val="both"/>
        <w:rPr>
          <w:b/>
          <w:bCs/>
        </w:rPr>
      </w:pPr>
      <w:r w:rsidRPr="002C0B4E">
        <w:rPr>
          <w:b/>
          <w:bCs/>
        </w:rPr>
        <w:t xml:space="preserve">OFFERING DOCUMENT </w:t>
      </w:r>
    </w:p>
    <w:p w14:paraId="6C2165BE" w14:textId="43C661F9" w:rsidR="0054256D" w:rsidRPr="002C0B4E" w:rsidRDefault="002C0B4E" w:rsidP="00CF5E7B">
      <w:pPr>
        <w:tabs>
          <w:tab w:val="right" w:pos="9360"/>
        </w:tabs>
        <w:spacing w:after="0" w:line="240" w:lineRule="auto"/>
        <w:jc w:val="both"/>
        <w:rPr>
          <w:b/>
          <w:bCs/>
        </w:rPr>
      </w:pPr>
      <w:r w:rsidRPr="002C0B4E">
        <w:rPr>
          <w:b/>
          <w:bCs/>
        </w:rPr>
        <w:t>UNDER THE LISTED ISSUER FINANCING EXEMPTION</w:t>
      </w:r>
      <w:r w:rsidRPr="002C0B4E">
        <w:rPr>
          <w:b/>
          <w:bCs/>
        </w:rPr>
        <w:tab/>
      </w:r>
      <w:r w:rsidR="00C16AAA">
        <w:rPr>
          <w:b/>
          <w:bCs/>
        </w:rPr>
        <w:t xml:space="preserve">DECEMBER </w:t>
      </w:r>
      <w:r w:rsidR="000954DB">
        <w:rPr>
          <w:b/>
          <w:bCs/>
        </w:rPr>
        <w:t>13</w:t>
      </w:r>
      <w:r w:rsidRPr="002C0B4E">
        <w:rPr>
          <w:b/>
          <w:bCs/>
        </w:rPr>
        <w:t>, 2022</w:t>
      </w:r>
    </w:p>
    <w:p w14:paraId="35994634" w14:textId="77777777" w:rsidR="002C0B4E" w:rsidRDefault="002C0B4E" w:rsidP="00CF5E7B">
      <w:pPr>
        <w:spacing w:before="240" w:after="0" w:line="240" w:lineRule="auto"/>
        <w:jc w:val="center"/>
        <w:rPr>
          <w:b/>
          <w:bCs/>
        </w:rPr>
      </w:pPr>
    </w:p>
    <w:p w14:paraId="253E7F8C" w14:textId="4C74ABB6" w:rsidR="002C0B4E" w:rsidRPr="002C0B4E" w:rsidRDefault="002C0B4E" w:rsidP="00CF5E7B">
      <w:pPr>
        <w:spacing w:after="0" w:line="240" w:lineRule="auto"/>
        <w:jc w:val="center"/>
        <w:rPr>
          <w:b/>
          <w:bCs/>
          <w:sz w:val="36"/>
          <w:szCs w:val="36"/>
        </w:rPr>
      </w:pPr>
      <w:r w:rsidRPr="002C0B4E">
        <w:rPr>
          <w:b/>
          <w:bCs/>
          <w:sz w:val="36"/>
          <w:szCs w:val="36"/>
        </w:rPr>
        <w:t>QU</w:t>
      </w:r>
      <w:r w:rsidR="00970704">
        <w:rPr>
          <w:rFonts w:cstheme="minorHAnsi"/>
          <w:b/>
          <w:bCs/>
          <w:sz w:val="36"/>
          <w:szCs w:val="36"/>
        </w:rPr>
        <w:t>É</w:t>
      </w:r>
      <w:r w:rsidRPr="002C0B4E">
        <w:rPr>
          <w:b/>
          <w:bCs/>
          <w:sz w:val="36"/>
          <w:szCs w:val="36"/>
        </w:rPr>
        <w:t xml:space="preserve">BEC </w:t>
      </w:r>
      <w:r w:rsidR="00CF5E7B">
        <w:rPr>
          <w:b/>
          <w:bCs/>
          <w:sz w:val="36"/>
          <w:szCs w:val="36"/>
        </w:rPr>
        <w:t>SILICA RESOURCES</w:t>
      </w:r>
      <w:r w:rsidRPr="002C0B4E">
        <w:rPr>
          <w:b/>
          <w:bCs/>
          <w:sz w:val="36"/>
          <w:szCs w:val="36"/>
        </w:rPr>
        <w:t xml:space="preserve"> CORP.</w:t>
      </w:r>
    </w:p>
    <w:p w14:paraId="1D822DED" w14:textId="1C0A4C69" w:rsidR="002C0B4E" w:rsidRDefault="005E1316" w:rsidP="00CF5E7B">
      <w:pPr>
        <w:spacing w:after="0" w:line="240" w:lineRule="auto"/>
        <w:jc w:val="center"/>
      </w:pPr>
      <w:r>
        <w:t>(the "</w:t>
      </w:r>
      <w:r w:rsidR="000112D2">
        <w:rPr>
          <w:b/>
          <w:bCs/>
        </w:rPr>
        <w:t>Company</w:t>
      </w:r>
      <w:r>
        <w:t>")</w:t>
      </w:r>
    </w:p>
    <w:p w14:paraId="7A53FE1C" w14:textId="0C5ACB10" w:rsidR="002C0B4E" w:rsidRDefault="002C0B4E" w:rsidP="005B24EA">
      <w:pPr>
        <w:spacing w:before="240" w:after="0" w:line="240" w:lineRule="auto"/>
        <w:rPr>
          <w:b/>
          <w:bCs/>
        </w:rPr>
      </w:pPr>
      <w:r w:rsidRPr="002C0B4E">
        <w:rPr>
          <w:b/>
          <w:bCs/>
        </w:rPr>
        <w:t>WHAT ARE WE OFFERING?</w:t>
      </w:r>
    </w:p>
    <w:p w14:paraId="122CDD04" w14:textId="77777777" w:rsidR="0092006C" w:rsidRDefault="0092006C" w:rsidP="005B24EA">
      <w:pPr>
        <w:spacing w:after="0" w:line="240" w:lineRule="auto"/>
        <w:rPr>
          <w:b/>
          <w:bCs/>
        </w:rPr>
      </w:pPr>
    </w:p>
    <w:tbl>
      <w:tblPr>
        <w:tblStyle w:val="TableGrid"/>
        <w:tblW w:w="0" w:type="auto"/>
        <w:tblLook w:val="04A0" w:firstRow="1" w:lastRow="0" w:firstColumn="1" w:lastColumn="0" w:noHBand="0" w:noVBand="1"/>
      </w:tblPr>
      <w:tblGrid>
        <w:gridCol w:w="1615"/>
        <w:gridCol w:w="7735"/>
      </w:tblGrid>
      <w:tr w:rsidR="0092006C" w14:paraId="0474932D" w14:textId="77777777" w:rsidTr="0092006C">
        <w:tc>
          <w:tcPr>
            <w:tcW w:w="1615" w:type="dxa"/>
            <w:vAlign w:val="center"/>
          </w:tcPr>
          <w:p w14:paraId="73ADAAE1" w14:textId="6284E3B3" w:rsidR="0092006C" w:rsidRDefault="0092006C" w:rsidP="005B24EA">
            <w:pPr>
              <w:spacing w:before="240"/>
              <w:rPr>
                <w:b/>
                <w:bCs/>
              </w:rPr>
            </w:pPr>
            <w:bookmarkStart w:id="0" w:name="_Hlk120634395"/>
            <w:r>
              <w:rPr>
                <w:b/>
                <w:bCs/>
              </w:rPr>
              <w:t xml:space="preserve">Offering: </w:t>
            </w:r>
          </w:p>
          <w:p w14:paraId="0FD3E236" w14:textId="77758CF6" w:rsidR="0092006C" w:rsidRDefault="0092006C" w:rsidP="005B24EA">
            <w:pPr>
              <w:spacing w:before="240"/>
              <w:rPr>
                <w:b/>
                <w:bCs/>
              </w:rPr>
            </w:pPr>
          </w:p>
        </w:tc>
        <w:tc>
          <w:tcPr>
            <w:tcW w:w="7735" w:type="dxa"/>
            <w:vAlign w:val="center"/>
          </w:tcPr>
          <w:p w14:paraId="4E99FC65" w14:textId="1919EECA" w:rsidR="0092006C" w:rsidRDefault="001D527E" w:rsidP="005B24EA">
            <w:pPr>
              <w:jc w:val="both"/>
              <w:rPr>
                <w:b/>
                <w:bCs/>
              </w:rPr>
            </w:pPr>
            <w:r>
              <w:t>A</w:t>
            </w:r>
            <w:r w:rsidR="00EA1FA6">
              <w:t xml:space="preserve"> minimum of </w:t>
            </w:r>
            <w:r w:rsidR="000954DB">
              <w:t>4</w:t>
            </w:r>
            <w:r w:rsidR="004D78AC">
              <w:t>,000,000</w:t>
            </w:r>
            <w:r w:rsidR="00EA1FA6">
              <w:t xml:space="preserve"> units and a</w:t>
            </w:r>
            <w:r w:rsidR="0092006C">
              <w:t xml:space="preserve"> maximum of </w:t>
            </w:r>
            <w:r w:rsidR="004D78AC">
              <w:t>1</w:t>
            </w:r>
            <w:r w:rsidR="000954DB">
              <w:t>1</w:t>
            </w:r>
            <w:r w:rsidR="004D78AC">
              <w:t>,</w:t>
            </w:r>
            <w:r w:rsidR="000954DB">
              <w:t>5</w:t>
            </w:r>
            <w:r w:rsidR="004D78AC">
              <w:t xml:space="preserve">00,000 </w:t>
            </w:r>
            <w:r w:rsidR="0092006C">
              <w:t>units at a price of $0.</w:t>
            </w:r>
            <w:r w:rsidR="005B24EA">
              <w:t>05</w:t>
            </w:r>
            <w:r w:rsidR="0092006C">
              <w:t xml:space="preserve"> (the "</w:t>
            </w:r>
            <w:r w:rsidR="0092006C" w:rsidRPr="005E1316">
              <w:rPr>
                <w:b/>
                <w:bCs/>
              </w:rPr>
              <w:t>Units</w:t>
            </w:r>
            <w:r w:rsidR="0092006C">
              <w:t>"). Each Unit consists of one (1) common share of the Company (a "</w:t>
            </w:r>
            <w:r w:rsidR="0092006C" w:rsidRPr="005E1316">
              <w:rPr>
                <w:b/>
                <w:bCs/>
              </w:rPr>
              <w:t>Common Share</w:t>
            </w:r>
            <w:r w:rsidR="0092006C">
              <w:t>") a</w:t>
            </w:r>
            <w:r w:rsidR="0092006C" w:rsidRPr="00F31798">
              <w:t>nd one-half of one (1/2) C</w:t>
            </w:r>
            <w:r w:rsidR="0092006C">
              <w:t>ommon Share purchase warrant (each whole common share purchase warrant referred to as a "</w:t>
            </w:r>
            <w:r w:rsidR="0092006C" w:rsidRPr="005E1316">
              <w:rPr>
                <w:b/>
                <w:bCs/>
              </w:rPr>
              <w:t>Warrant</w:t>
            </w:r>
            <w:r w:rsidR="0092006C">
              <w:t xml:space="preserve">"). Each Warrant is </w:t>
            </w:r>
            <w:r w:rsidR="002B505B">
              <w:t xml:space="preserve">exercisable </w:t>
            </w:r>
            <w:r w:rsidR="0092006C">
              <w:t>into one Common Share at a price of $0.</w:t>
            </w:r>
            <w:r w:rsidR="005B24EA">
              <w:t>075</w:t>
            </w:r>
            <w:r w:rsidR="0092006C">
              <w:t xml:space="preserve"> for a period of </w:t>
            </w:r>
            <w:r>
              <w:t>24</w:t>
            </w:r>
            <w:r w:rsidR="0092006C">
              <w:t xml:space="preserve"> months (the "</w:t>
            </w:r>
            <w:r w:rsidR="0092006C" w:rsidRPr="005E1316">
              <w:rPr>
                <w:b/>
                <w:bCs/>
              </w:rPr>
              <w:t>Offering</w:t>
            </w:r>
            <w:r w:rsidR="0092006C">
              <w:t>").</w:t>
            </w:r>
          </w:p>
        </w:tc>
      </w:tr>
      <w:tr w:rsidR="0092006C" w14:paraId="338AA30D" w14:textId="77777777" w:rsidTr="0092006C">
        <w:tc>
          <w:tcPr>
            <w:tcW w:w="1615" w:type="dxa"/>
            <w:vAlign w:val="center"/>
          </w:tcPr>
          <w:p w14:paraId="073EC8B8" w14:textId="2D6CF85F" w:rsidR="0092006C" w:rsidRDefault="0092006C" w:rsidP="005B24EA">
            <w:pPr>
              <w:spacing w:before="240"/>
              <w:rPr>
                <w:b/>
                <w:bCs/>
              </w:rPr>
            </w:pPr>
            <w:r>
              <w:rPr>
                <w:b/>
                <w:bCs/>
              </w:rPr>
              <w:t>Offering Price:</w:t>
            </w:r>
          </w:p>
        </w:tc>
        <w:tc>
          <w:tcPr>
            <w:tcW w:w="7735" w:type="dxa"/>
            <w:vAlign w:val="center"/>
          </w:tcPr>
          <w:p w14:paraId="0EA6E422" w14:textId="07E7707F" w:rsidR="0092006C" w:rsidRDefault="0092006C" w:rsidP="005B24EA">
            <w:pPr>
              <w:spacing w:before="240"/>
              <w:jc w:val="both"/>
              <w:rPr>
                <w:b/>
                <w:bCs/>
              </w:rPr>
            </w:pPr>
            <w:r>
              <w:t>$0.</w:t>
            </w:r>
            <w:r w:rsidR="005B24EA">
              <w:t>05</w:t>
            </w:r>
            <w:r>
              <w:t xml:space="preserve"> per Unit</w:t>
            </w:r>
          </w:p>
        </w:tc>
      </w:tr>
      <w:tr w:rsidR="0092006C" w14:paraId="77343C2D" w14:textId="77777777" w:rsidTr="0092006C">
        <w:tc>
          <w:tcPr>
            <w:tcW w:w="1615" w:type="dxa"/>
            <w:vAlign w:val="center"/>
          </w:tcPr>
          <w:p w14:paraId="2AF9CDF6" w14:textId="607993D6" w:rsidR="0092006C" w:rsidRDefault="0092006C" w:rsidP="005B24EA">
            <w:pPr>
              <w:spacing w:before="240"/>
              <w:rPr>
                <w:b/>
                <w:bCs/>
              </w:rPr>
            </w:pPr>
            <w:r>
              <w:rPr>
                <w:b/>
                <w:bCs/>
              </w:rPr>
              <w:t>Offering Amount:</w:t>
            </w:r>
          </w:p>
        </w:tc>
        <w:tc>
          <w:tcPr>
            <w:tcW w:w="7735" w:type="dxa"/>
            <w:vAlign w:val="center"/>
          </w:tcPr>
          <w:p w14:paraId="4C5F184E" w14:textId="7676D54C" w:rsidR="0092006C" w:rsidRDefault="00EA1FA6" w:rsidP="005B24EA">
            <w:pPr>
              <w:spacing w:before="240"/>
              <w:jc w:val="both"/>
              <w:rPr>
                <w:b/>
                <w:bCs/>
              </w:rPr>
            </w:pPr>
            <w:r>
              <w:t xml:space="preserve">A minimum of </w:t>
            </w:r>
            <w:r w:rsidR="000954DB">
              <w:t>4</w:t>
            </w:r>
            <w:r w:rsidR="004D78AC">
              <w:t>,000,000</w:t>
            </w:r>
            <w:r w:rsidR="005B34D8">
              <w:t xml:space="preserve"> </w:t>
            </w:r>
            <w:r>
              <w:t xml:space="preserve">Units and a </w:t>
            </w:r>
            <w:r w:rsidR="0092006C">
              <w:t xml:space="preserve">maximum of </w:t>
            </w:r>
            <w:r w:rsidR="004D78AC">
              <w:t>1</w:t>
            </w:r>
            <w:r w:rsidR="000954DB">
              <w:t>1</w:t>
            </w:r>
            <w:r w:rsidR="004D78AC">
              <w:t>,</w:t>
            </w:r>
            <w:r w:rsidR="000954DB">
              <w:t>5</w:t>
            </w:r>
            <w:r w:rsidR="004D78AC">
              <w:t>00,000</w:t>
            </w:r>
            <w:r w:rsidR="0092006C">
              <w:t xml:space="preserve"> Units, for</w:t>
            </w:r>
            <w:r>
              <w:t xml:space="preserve"> minimum gross proceeds of $</w:t>
            </w:r>
            <w:r w:rsidR="004D78AC">
              <w:t>2</w:t>
            </w:r>
            <w:r w:rsidR="000954DB">
              <w:t>0</w:t>
            </w:r>
            <w:r w:rsidR="004D78AC">
              <w:t>0,000</w:t>
            </w:r>
            <w:r>
              <w:t xml:space="preserve"> and</w:t>
            </w:r>
            <w:r w:rsidR="0092006C">
              <w:t xml:space="preserve"> maximum gross proceeds of $</w:t>
            </w:r>
            <w:r w:rsidR="000954DB">
              <w:t>575</w:t>
            </w:r>
            <w:r w:rsidR="004D78AC">
              <w:t>,000</w:t>
            </w:r>
            <w:r w:rsidR="0092006C">
              <w:t xml:space="preserve">.  </w:t>
            </w:r>
            <w:r w:rsidR="005B34D8">
              <w:t xml:space="preserve"> </w:t>
            </w:r>
          </w:p>
        </w:tc>
      </w:tr>
      <w:tr w:rsidR="0092006C" w14:paraId="5E4D7375" w14:textId="77777777" w:rsidTr="0092006C">
        <w:tc>
          <w:tcPr>
            <w:tcW w:w="1615" w:type="dxa"/>
            <w:vAlign w:val="center"/>
          </w:tcPr>
          <w:p w14:paraId="689DF420" w14:textId="04E0EE19" w:rsidR="0092006C" w:rsidRDefault="0092006C" w:rsidP="005B24EA">
            <w:pPr>
              <w:spacing w:before="240"/>
              <w:rPr>
                <w:b/>
                <w:bCs/>
              </w:rPr>
            </w:pPr>
            <w:r>
              <w:rPr>
                <w:b/>
                <w:bCs/>
              </w:rPr>
              <w:t>Closing Date:</w:t>
            </w:r>
          </w:p>
        </w:tc>
        <w:tc>
          <w:tcPr>
            <w:tcW w:w="7735" w:type="dxa"/>
            <w:vAlign w:val="center"/>
          </w:tcPr>
          <w:p w14:paraId="0EAB57A1" w14:textId="12EA69D7" w:rsidR="0092006C" w:rsidRPr="0092006C" w:rsidRDefault="0092006C" w:rsidP="005B24EA">
            <w:pPr>
              <w:spacing w:before="240"/>
              <w:jc w:val="both"/>
            </w:pPr>
            <w:r>
              <w:t xml:space="preserve">On or about </w:t>
            </w:r>
            <w:r w:rsidR="00BB30BB">
              <w:t xml:space="preserve">December </w:t>
            </w:r>
            <w:r w:rsidR="005B24EA" w:rsidRPr="000954DB">
              <w:t>2</w:t>
            </w:r>
            <w:r w:rsidR="000954DB" w:rsidRPr="000954DB">
              <w:t>3</w:t>
            </w:r>
            <w:r>
              <w:t>, 2022</w:t>
            </w:r>
            <w:r w:rsidR="000954DB">
              <w:t>.</w:t>
            </w:r>
            <w:r>
              <w:t xml:space="preserve"> </w:t>
            </w:r>
          </w:p>
        </w:tc>
      </w:tr>
      <w:tr w:rsidR="0092006C" w14:paraId="7BD92A96" w14:textId="77777777" w:rsidTr="0092006C">
        <w:tc>
          <w:tcPr>
            <w:tcW w:w="1615" w:type="dxa"/>
            <w:vAlign w:val="center"/>
          </w:tcPr>
          <w:p w14:paraId="5C5343A4" w14:textId="5CED9562" w:rsidR="0092006C" w:rsidRDefault="0092006C" w:rsidP="005B24EA">
            <w:pPr>
              <w:spacing w:before="240"/>
              <w:rPr>
                <w:b/>
                <w:bCs/>
              </w:rPr>
            </w:pPr>
            <w:r>
              <w:rPr>
                <w:b/>
                <w:bCs/>
              </w:rPr>
              <w:t>Exchange:</w:t>
            </w:r>
          </w:p>
        </w:tc>
        <w:tc>
          <w:tcPr>
            <w:tcW w:w="7735" w:type="dxa"/>
            <w:vAlign w:val="center"/>
          </w:tcPr>
          <w:p w14:paraId="0156D940" w14:textId="13C52544" w:rsidR="0092006C" w:rsidRDefault="0092006C" w:rsidP="005B24EA">
            <w:pPr>
              <w:spacing w:before="240"/>
              <w:jc w:val="both"/>
              <w:rPr>
                <w:b/>
                <w:bCs/>
              </w:rPr>
            </w:pPr>
            <w:r>
              <w:t>The Common Shares of the Company are listed on the Canadian Securities Exchange ("</w:t>
            </w:r>
            <w:r w:rsidRPr="005E1316">
              <w:rPr>
                <w:b/>
                <w:bCs/>
              </w:rPr>
              <w:t>CSE</w:t>
            </w:r>
            <w:r>
              <w:t>") under the trading symbol "Q</w:t>
            </w:r>
            <w:r w:rsidR="00316116">
              <w:t>TZ</w:t>
            </w:r>
            <w:r>
              <w:t xml:space="preserve">".  </w:t>
            </w:r>
          </w:p>
        </w:tc>
      </w:tr>
      <w:tr w:rsidR="0092006C" w14:paraId="20792397" w14:textId="77777777" w:rsidTr="0092006C">
        <w:tc>
          <w:tcPr>
            <w:tcW w:w="1615" w:type="dxa"/>
            <w:vAlign w:val="center"/>
          </w:tcPr>
          <w:p w14:paraId="5543C17D" w14:textId="441AE0FD" w:rsidR="0092006C" w:rsidRDefault="0092006C" w:rsidP="005B24EA">
            <w:pPr>
              <w:spacing w:before="240"/>
              <w:rPr>
                <w:b/>
                <w:bCs/>
              </w:rPr>
            </w:pPr>
            <w:r>
              <w:rPr>
                <w:b/>
                <w:bCs/>
              </w:rPr>
              <w:t>Last Closing Price:</w:t>
            </w:r>
          </w:p>
        </w:tc>
        <w:tc>
          <w:tcPr>
            <w:tcW w:w="7735" w:type="dxa"/>
            <w:vAlign w:val="center"/>
          </w:tcPr>
          <w:p w14:paraId="2362CDAD" w14:textId="317B80C0" w:rsidR="0092006C" w:rsidRDefault="0092006C" w:rsidP="005B24EA">
            <w:pPr>
              <w:spacing w:before="240"/>
              <w:jc w:val="both"/>
              <w:rPr>
                <w:b/>
                <w:bCs/>
              </w:rPr>
            </w:pPr>
            <w:r>
              <w:t>On</w:t>
            </w:r>
            <w:r w:rsidR="004D78AC">
              <w:t xml:space="preserve"> December</w:t>
            </w:r>
            <w:r>
              <w:t xml:space="preserve"> </w:t>
            </w:r>
            <w:r w:rsidR="000954DB">
              <w:t>12</w:t>
            </w:r>
            <w:r>
              <w:t xml:space="preserve">, 2022, the </w:t>
            </w:r>
            <w:r w:rsidR="002B505B">
              <w:t xml:space="preserve">closing price of the </w:t>
            </w:r>
            <w:r>
              <w:t xml:space="preserve">Common Shares </w:t>
            </w:r>
            <w:r w:rsidR="002B505B">
              <w:t>on the CSE</w:t>
            </w:r>
            <w:r>
              <w:t xml:space="preserve"> </w:t>
            </w:r>
            <w:r w:rsidR="002B505B">
              <w:t>was</w:t>
            </w:r>
            <w:r>
              <w:t xml:space="preserve"> </w:t>
            </w:r>
            <w:r w:rsidRPr="00736BB7">
              <w:t>$</w:t>
            </w:r>
            <w:r w:rsidR="004A7932">
              <w:t>0.055</w:t>
            </w:r>
            <w:r w:rsidRPr="00736BB7">
              <w:t>.</w:t>
            </w:r>
          </w:p>
        </w:tc>
      </w:tr>
    </w:tbl>
    <w:bookmarkEnd w:id="0"/>
    <w:p w14:paraId="7F7FE3DB" w14:textId="2333BBD2" w:rsidR="002C0B4E" w:rsidRPr="002C0B4E" w:rsidRDefault="002C0B4E" w:rsidP="005B24EA">
      <w:pPr>
        <w:spacing w:before="240" w:after="0" w:line="240" w:lineRule="auto"/>
        <w:jc w:val="both"/>
        <w:rPr>
          <w:b/>
          <w:bCs/>
          <w:i/>
          <w:iCs/>
        </w:rPr>
      </w:pPr>
      <w:r w:rsidRPr="002C0B4E">
        <w:rPr>
          <w:b/>
          <w:bCs/>
          <w:i/>
          <w:iCs/>
        </w:rPr>
        <w:t xml:space="preserve">No securities regulatory authority or regulator has assessed the merits of these securities or reviewed this document. Any representation to the contrary is an offence. This offering may not be suitable for </w:t>
      </w:r>
      <w:proofErr w:type="gramStart"/>
      <w:r w:rsidRPr="002C0B4E">
        <w:rPr>
          <w:b/>
          <w:bCs/>
          <w:i/>
          <w:iCs/>
        </w:rPr>
        <w:t>you</w:t>
      </w:r>
      <w:proofErr w:type="gramEnd"/>
      <w:r w:rsidRPr="002C0B4E">
        <w:rPr>
          <w:b/>
          <w:bCs/>
          <w:i/>
          <w:iCs/>
        </w:rPr>
        <w:t xml:space="preserve"> and you should only invest in it if you are willing to risk the loss of your entire investment. In making this investment decision, you should seek the advice of a registered dealer.</w:t>
      </w:r>
    </w:p>
    <w:p w14:paraId="116B36EF" w14:textId="777E6584" w:rsidR="002C0B4E" w:rsidRPr="009F3C5E" w:rsidRDefault="00970704" w:rsidP="00CF5E7B">
      <w:pPr>
        <w:spacing w:before="240" w:after="0" w:line="240" w:lineRule="auto"/>
        <w:jc w:val="both"/>
        <w:rPr>
          <w:b/>
          <w:bCs/>
        </w:rPr>
      </w:pPr>
      <w:r w:rsidRPr="009F3C5E">
        <w:rPr>
          <w:b/>
          <w:bCs/>
        </w:rPr>
        <w:t xml:space="preserve">Québec </w:t>
      </w:r>
      <w:r w:rsidR="00CF5E7B">
        <w:rPr>
          <w:b/>
          <w:bCs/>
        </w:rPr>
        <w:t>Silica Resources</w:t>
      </w:r>
      <w:r w:rsidR="002C0B4E" w:rsidRPr="009F3C5E">
        <w:rPr>
          <w:b/>
          <w:bCs/>
        </w:rPr>
        <w:t xml:space="preserve"> Corp. is conducting a listed issuer financing under section 5A.2 of National Instrument 45-106 Prospectus Exemptions. In connection with this </w:t>
      </w:r>
      <w:r w:rsidR="002B505B">
        <w:rPr>
          <w:b/>
          <w:bCs/>
        </w:rPr>
        <w:t>O</w:t>
      </w:r>
      <w:r w:rsidR="002C0B4E" w:rsidRPr="009F3C5E">
        <w:rPr>
          <w:b/>
          <w:bCs/>
        </w:rPr>
        <w:t>ffering, the issuer represents the following is true:</w:t>
      </w:r>
    </w:p>
    <w:p w14:paraId="191B8FAA" w14:textId="6CD86BE0" w:rsidR="002C0B4E" w:rsidRPr="009F3C5E" w:rsidRDefault="002C0B4E" w:rsidP="00CF5E7B">
      <w:pPr>
        <w:pStyle w:val="ListParagraph"/>
        <w:numPr>
          <w:ilvl w:val="0"/>
          <w:numId w:val="1"/>
        </w:numPr>
        <w:spacing w:before="240" w:after="0" w:line="240" w:lineRule="auto"/>
        <w:contextualSpacing w:val="0"/>
        <w:jc w:val="both"/>
        <w:rPr>
          <w:b/>
          <w:bCs/>
        </w:rPr>
      </w:pPr>
      <w:r w:rsidRPr="009F3C5E">
        <w:rPr>
          <w:b/>
          <w:bCs/>
        </w:rPr>
        <w:t xml:space="preserve">The issuer has active </w:t>
      </w:r>
      <w:proofErr w:type="gramStart"/>
      <w:r w:rsidRPr="009F3C5E">
        <w:rPr>
          <w:b/>
          <w:bCs/>
        </w:rPr>
        <w:t>operations</w:t>
      </w:r>
      <w:proofErr w:type="gramEnd"/>
      <w:r w:rsidRPr="009F3C5E">
        <w:rPr>
          <w:b/>
          <w:bCs/>
        </w:rPr>
        <w:t xml:space="preserve"> and its principal asset is not cash, cash equivalents or its exchange listing. </w:t>
      </w:r>
    </w:p>
    <w:p w14:paraId="64879C11" w14:textId="7DDFB54D" w:rsidR="002C0B4E" w:rsidRPr="009F3C5E" w:rsidRDefault="002C0B4E" w:rsidP="00CF5E7B">
      <w:pPr>
        <w:pStyle w:val="ListParagraph"/>
        <w:numPr>
          <w:ilvl w:val="0"/>
          <w:numId w:val="1"/>
        </w:numPr>
        <w:spacing w:before="120" w:after="0" w:line="240" w:lineRule="auto"/>
        <w:contextualSpacing w:val="0"/>
        <w:jc w:val="both"/>
        <w:rPr>
          <w:b/>
          <w:bCs/>
        </w:rPr>
      </w:pPr>
      <w:r w:rsidRPr="009F3C5E">
        <w:rPr>
          <w:b/>
          <w:bCs/>
        </w:rPr>
        <w:t xml:space="preserve">The issuer has filed all periodic and timely disclosure documents that it is required to have filed. </w:t>
      </w:r>
    </w:p>
    <w:p w14:paraId="2E76BB30" w14:textId="0CFB09D9" w:rsidR="002C0B4E" w:rsidRPr="009F3C5E" w:rsidRDefault="002C0B4E" w:rsidP="00CF5E7B">
      <w:pPr>
        <w:pStyle w:val="ListParagraph"/>
        <w:numPr>
          <w:ilvl w:val="0"/>
          <w:numId w:val="1"/>
        </w:numPr>
        <w:spacing w:before="120" w:after="0" w:line="240" w:lineRule="auto"/>
        <w:contextualSpacing w:val="0"/>
        <w:jc w:val="both"/>
        <w:rPr>
          <w:b/>
          <w:bCs/>
        </w:rPr>
      </w:pPr>
      <w:r w:rsidRPr="009F3C5E">
        <w:rPr>
          <w:b/>
          <w:bCs/>
        </w:rPr>
        <w:t>The total dollar amount of this offering, in combination with the dollar amount of all other offerings made under the listed issuer financing exemption in the 12 months immediately before the date of this offering document, will not exceed $5</w:t>
      </w:r>
      <w:r w:rsidR="009F3C5E">
        <w:rPr>
          <w:b/>
          <w:bCs/>
        </w:rPr>
        <w:t>,</w:t>
      </w:r>
      <w:r w:rsidR="00986F06">
        <w:rPr>
          <w:b/>
          <w:bCs/>
        </w:rPr>
        <w:t>750</w:t>
      </w:r>
      <w:r w:rsidR="009F3C5E">
        <w:rPr>
          <w:b/>
          <w:bCs/>
        </w:rPr>
        <w:t>,</w:t>
      </w:r>
      <w:r w:rsidRPr="009F3C5E">
        <w:rPr>
          <w:b/>
          <w:bCs/>
        </w:rPr>
        <w:t>000.</w:t>
      </w:r>
    </w:p>
    <w:p w14:paraId="7FDF4FD4" w14:textId="7A75B2B4" w:rsidR="002C0B4E" w:rsidRPr="009F3C5E" w:rsidRDefault="002C0B4E" w:rsidP="00CF5E7B">
      <w:pPr>
        <w:pStyle w:val="ListParagraph"/>
        <w:numPr>
          <w:ilvl w:val="0"/>
          <w:numId w:val="1"/>
        </w:numPr>
        <w:spacing w:before="120" w:after="0" w:line="240" w:lineRule="auto"/>
        <w:contextualSpacing w:val="0"/>
        <w:jc w:val="both"/>
        <w:rPr>
          <w:b/>
          <w:bCs/>
        </w:rPr>
      </w:pPr>
      <w:r w:rsidRPr="009F3C5E">
        <w:rPr>
          <w:b/>
          <w:bCs/>
        </w:rPr>
        <w:lastRenderedPageBreak/>
        <w:t xml:space="preserve">The issuer will not close this offering unless the issuer reasonably believes it has raised sufficient funds to meet its business objectives and liquidity requirements for a period of 12 months following the distribution. </w:t>
      </w:r>
    </w:p>
    <w:p w14:paraId="7F4BD5F5" w14:textId="18CF0F92" w:rsidR="0092006C" w:rsidRPr="002E1C8A" w:rsidRDefault="002C0B4E" w:rsidP="00CF5E7B">
      <w:pPr>
        <w:pStyle w:val="ListParagraph"/>
        <w:numPr>
          <w:ilvl w:val="0"/>
          <w:numId w:val="1"/>
        </w:numPr>
        <w:spacing w:before="120" w:after="0" w:line="240" w:lineRule="auto"/>
        <w:contextualSpacing w:val="0"/>
        <w:jc w:val="both"/>
        <w:rPr>
          <w:b/>
          <w:bCs/>
        </w:rPr>
      </w:pPr>
      <w:r w:rsidRPr="002E1C8A">
        <w:rPr>
          <w:b/>
          <w:bCs/>
        </w:rPr>
        <w:t>The issuer will not allocate the available funds from this offering to an acquisition that is a significant acquisition or restructuring transaction under securities law or to any other transaction for which the issuer seeks security holder approval.</w:t>
      </w:r>
    </w:p>
    <w:p w14:paraId="4A6CFEB6" w14:textId="527476D0" w:rsidR="0092006C" w:rsidRPr="0092006C" w:rsidRDefault="0092006C" w:rsidP="00CF5E7B">
      <w:pPr>
        <w:spacing w:before="120" w:after="0" w:line="240" w:lineRule="auto"/>
        <w:rPr>
          <w:b/>
          <w:bCs/>
        </w:rPr>
      </w:pPr>
      <w:r w:rsidRPr="0092006C">
        <w:rPr>
          <w:b/>
          <w:bCs/>
        </w:rPr>
        <w:t>CAUTIONARY STATEMENT REGARDING FORWARD-LOOKING INFORMATION</w:t>
      </w:r>
    </w:p>
    <w:p w14:paraId="492C8CA3" w14:textId="2EF708DC" w:rsidR="0092006C" w:rsidRDefault="0092006C" w:rsidP="00CF5E7B">
      <w:pPr>
        <w:spacing w:before="120" w:after="0" w:line="240" w:lineRule="auto"/>
        <w:jc w:val="both"/>
      </w:pPr>
      <w:r>
        <w:t xml:space="preserve">This offering document contains “forward-looking information” within the meaning of applicable Canadian and United States securities laws, which is based upon the Company’s current internal expectations, estimates, projections, </w:t>
      </w:r>
      <w:proofErr w:type="gramStart"/>
      <w:r>
        <w:t>assumptions</w:t>
      </w:r>
      <w:proofErr w:type="gramEnd"/>
      <w:r>
        <w:t xml:space="preserve"> and beliefs. The forward-looking information included in this offering document are made only as of the date of this offering document. Such forward-looking statements and forward-looking information include, but are not limited to, statements concerning future exploration plans at </w:t>
      </w:r>
      <w:r w:rsidRPr="0067204E">
        <w:t>the Company’s mineral properties, including exploration timelines</w:t>
      </w:r>
      <w:r w:rsidR="0067204E" w:rsidRPr="0067204E">
        <w:t xml:space="preserve"> and</w:t>
      </w:r>
      <w:r w:rsidRPr="0067204E">
        <w:t xml:space="preserve"> anticipated costs; completion of the Offering</w:t>
      </w:r>
      <w:r>
        <w:t xml:space="preserve">, the Company’s expectations with respect to the use of proceeds and the use of the available funds following completion of the Offering; raising the minimum or maximum proceeds of the Offering; and completion of the Offering and the date of such completion. Forward-looking statements or forward-looking information relate to future events and future performance and include statements regarding the expectations and beliefs of management based on information currently available to the Company. Such forward-looking statements and forward-looking information often, but not always, can be identified by the use of words such as “plans”, “expects”, “potential”, “is expected”, “anticipated”, “is targeted”, “budget”, “scheduled”, “estimates”, “forecasts”, “intends”, “anticipates”, or “believes” or the negatives thereof or variations of such words and phrases or statements that certain actions, events or results “may”, “could”, “would”, “might” or “will” be taken, occur or be achieved. </w:t>
      </w:r>
    </w:p>
    <w:p w14:paraId="6BA1FDDE" w14:textId="32E202CC" w:rsidR="002C0B4E" w:rsidRPr="0092006C" w:rsidRDefault="0092006C" w:rsidP="00CF5E7B">
      <w:pPr>
        <w:spacing w:before="120" w:after="0" w:line="240" w:lineRule="auto"/>
        <w:jc w:val="both"/>
        <w:rPr>
          <w:b/>
          <w:bCs/>
        </w:rPr>
        <w:sectPr w:rsidR="002C0B4E" w:rsidRPr="0092006C" w:rsidSect="008C57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706" w:gutter="0"/>
          <w:cols w:space="708"/>
          <w:titlePg/>
          <w:docGrid w:linePitch="360"/>
        </w:sectPr>
      </w:pPr>
      <w:r>
        <w:t xml:space="preserve">Forward-looking statements or forward-looking information are subject to a variety of risks and uncertainties which could cause actual events or results to differ materially from those reflected in the forward-looking statements or forward-looking information, including, without limitation, risks and uncertainties relating to: general business and economic conditions; regulatory approval for the Offering; completion of the Offering; changes in commodity prices; the supply and demand for, deliveries of, and the level and volatility of the </w:t>
      </w:r>
      <w:r w:rsidRPr="00E00F9A">
        <w:t xml:space="preserve">price of </w:t>
      </w:r>
      <w:r w:rsidR="000954DB">
        <w:t>industrial minerals</w:t>
      </w:r>
      <w:r>
        <w:t xml:space="preserve"> and other </w:t>
      </w:r>
      <w:r w:rsidR="000954DB">
        <w:t xml:space="preserve">minerals and </w:t>
      </w:r>
      <w:r>
        <w:t>metals; changes in project parameters as exploration plans continue to be refined; costs of exploration including labour and equipment costs; risks and uncertainties related to the ability to obtain or maintain necessary licenses, permits or surface rights; changes in credit market conditions and conditions in financial markets generally; the ability to procure equipment and operating supplies in sufficient quantities and on a timely basis; the availability of qualified employees and contractors; the impact of value of Canadian dollar and U.S. dollar, foreign exchange rates on costs and financial results; market competition; exploration results not being consistent with the Company’s expectations; changes in taxation rates</w:t>
      </w:r>
      <w:r w:rsidR="00377880">
        <w:t xml:space="preserve"> or policies</w:t>
      </w:r>
      <w:r>
        <w:t>; technical difficulties in connection with mining activities; changes in environmental regulation; environmental compliance issues; other risks of the mining industry</w:t>
      </w:r>
      <w:r w:rsidR="00986F06">
        <w:t xml:space="preserve">; </w:t>
      </w:r>
      <w:r w:rsidR="00986F06" w:rsidRPr="0082786E">
        <w:rPr>
          <w:sz w:val="20"/>
          <w:szCs w:val="20"/>
        </w:rPr>
        <w:t>the outbreaks of the coronavirus (COVID-19) pandemic</w:t>
      </w:r>
      <w:r w:rsidR="00986F06">
        <w:rPr>
          <w:sz w:val="20"/>
          <w:szCs w:val="20"/>
        </w:rPr>
        <w:t>;</w:t>
      </w:r>
      <w:r w:rsidR="00986F06" w:rsidRPr="0082786E">
        <w:rPr>
          <w:sz w:val="20"/>
          <w:szCs w:val="20"/>
        </w:rPr>
        <w:t xml:space="preserve"> relations between NATO and Russian Federation regarding the situation in Ukraine and potential economic global challenges such as the risk of the higher inflation and energy crises</w:t>
      </w:r>
      <w:r>
        <w:t xml:space="preserve">. Should one or more of these risks and uncertainties materialize, or should underlying assumptions prove incorrect, actual results may vary materially from those described in forward-looking statements or forward-looking information. Although the Company has attempted to identify important factors that could cause actual results to differ materially, there may be other factors that could cause results not to be as anticipated, estimated or intended. For more information on the Company and the risks and challenges of its business, investors should review the Company’s annual filings that are available at www.sedar.com. The Company provides </w:t>
      </w:r>
      <w:r>
        <w:lastRenderedPageBreak/>
        <w:t xml:space="preserve">no assurance that forward-looking statements or forward-looking information will prove to be accurate, as actual results and future events could differ materially from those anticipated in such statements and information. Accordingly, readers should not place undue reliance on forward-looking statements and forward-looking information. Any forward-looking statement speaks only as of the date on which it is made and, except as may be required by applicable securities laws, the Company disclaims any intent or obligation to update any forward-looking information, whether </w:t>
      </w:r>
      <w:proofErr w:type="gramStart"/>
      <w:r>
        <w:t>as a result of</w:t>
      </w:r>
      <w:proofErr w:type="gramEnd"/>
      <w:r>
        <w:t xml:space="preserve"> new information, changing circumstances, or otherwise.</w:t>
      </w:r>
    </w:p>
    <w:p w14:paraId="63DB358B" w14:textId="64441469" w:rsidR="002C0B4E" w:rsidRPr="002D41A4" w:rsidRDefault="00524E5F" w:rsidP="00C16AAA">
      <w:pPr>
        <w:keepNext/>
        <w:spacing w:before="240" w:after="0" w:line="240" w:lineRule="auto"/>
        <w:jc w:val="center"/>
        <w:rPr>
          <w:b/>
          <w:bCs/>
        </w:rPr>
      </w:pPr>
      <w:r w:rsidRPr="002D41A4">
        <w:rPr>
          <w:b/>
          <w:bCs/>
        </w:rPr>
        <w:lastRenderedPageBreak/>
        <w:t>SUMMARY DESCRIPTION OF BUSINESS</w:t>
      </w:r>
    </w:p>
    <w:p w14:paraId="5E89164E" w14:textId="77975F03" w:rsidR="00A870CC" w:rsidRPr="00751976" w:rsidRDefault="002D41A4" w:rsidP="00C16AAA">
      <w:pPr>
        <w:keepNext/>
        <w:spacing w:before="240" w:after="0" w:line="240" w:lineRule="auto"/>
        <w:jc w:val="both"/>
        <w:rPr>
          <w:b/>
          <w:bCs/>
        </w:rPr>
      </w:pPr>
      <w:r w:rsidRPr="002D41A4">
        <w:rPr>
          <w:b/>
          <w:bCs/>
        </w:rPr>
        <w:t>What is our Business?</w:t>
      </w:r>
    </w:p>
    <w:p w14:paraId="6B392C06" w14:textId="3B466DCA" w:rsidR="00C16AAA" w:rsidRDefault="00C16AAA" w:rsidP="00C16AAA">
      <w:pPr>
        <w:spacing w:before="240" w:after="0" w:line="240" w:lineRule="auto"/>
        <w:jc w:val="both"/>
      </w:pPr>
      <w:r w:rsidRPr="00C16AAA">
        <w:t>Qu</w:t>
      </w:r>
      <w:r>
        <w:rPr>
          <w:rFonts w:cstheme="minorHAnsi"/>
        </w:rPr>
        <w:t>é</w:t>
      </w:r>
      <w:r w:rsidRPr="00C16AAA">
        <w:t xml:space="preserve">bec Silica Resources is a mineral exploration and development company focused on exploring, </w:t>
      </w:r>
      <w:proofErr w:type="gramStart"/>
      <w:r w:rsidRPr="00C16AAA">
        <w:t>developing</w:t>
      </w:r>
      <w:proofErr w:type="gramEnd"/>
      <w:r w:rsidRPr="00C16AAA">
        <w:t xml:space="preserve"> and acquiring industrial mineral resources in Qu</w:t>
      </w:r>
      <w:r>
        <w:rPr>
          <w:rFonts w:cstheme="minorHAnsi"/>
        </w:rPr>
        <w:t>é</w:t>
      </w:r>
      <w:r w:rsidRPr="00C16AAA">
        <w:t xml:space="preserve">bec, Canada. The company is </w:t>
      </w:r>
      <w:r w:rsidRPr="004A7932">
        <w:t>curren</w:t>
      </w:r>
      <w:r w:rsidR="005E0DE1" w:rsidRPr="004A7932">
        <w:t xml:space="preserve">tly focused on its wholly owned flagship </w:t>
      </w:r>
      <w:r w:rsidRPr="004A7932">
        <w:t>Charlevoix silica</w:t>
      </w:r>
      <w:r w:rsidRPr="00C16AAA">
        <w:t xml:space="preserve"> </w:t>
      </w:r>
      <w:r w:rsidR="005E0DE1">
        <w:t>p</w:t>
      </w:r>
      <w:r w:rsidRPr="00C16AAA">
        <w:t>roject near St. Urbane, Qu</w:t>
      </w:r>
      <w:r>
        <w:rPr>
          <w:rFonts w:cstheme="minorHAnsi"/>
        </w:rPr>
        <w:t>é</w:t>
      </w:r>
      <w:r w:rsidRPr="00C16AAA">
        <w:t xml:space="preserve">bec, Canada, and has a portfolio of </w:t>
      </w:r>
      <w:r w:rsidR="00F71384">
        <w:t>two other</w:t>
      </w:r>
      <w:r w:rsidR="00F71384" w:rsidRPr="00C16AAA">
        <w:t xml:space="preserve"> </w:t>
      </w:r>
      <w:r w:rsidRPr="00C16AAA">
        <w:t>silica properties</w:t>
      </w:r>
      <w:r w:rsidR="00F71384">
        <w:t>, and three properties prospective for hydrogen and helium</w:t>
      </w:r>
      <w:r w:rsidRPr="00C16AAA">
        <w:t xml:space="preserve"> in Qu</w:t>
      </w:r>
      <w:r>
        <w:rPr>
          <w:rFonts w:cstheme="minorHAnsi"/>
        </w:rPr>
        <w:t>é</w:t>
      </w:r>
      <w:r w:rsidRPr="00C16AAA">
        <w:t>bec.</w:t>
      </w:r>
    </w:p>
    <w:p w14:paraId="04B3625E" w14:textId="52C54B7F" w:rsidR="002D41A4" w:rsidRPr="002D41A4" w:rsidRDefault="002D41A4" w:rsidP="004E30C5">
      <w:pPr>
        <w:keepNext/>
        <w:spacing w:before="240" w:after="0" w:line="240" w:lineRule="auto"/>
        <w:jc w:val="both"/>
        <w:rPr>
          <w:b/>
          <w:bCs/>
        </w:rPr>
      </w:pPr>
      <w:r w:rsidRPr="002D41A4">
        <w:rPr>
          <w:b/>
          <w:bCs/>
        </w:rPr>
        <w:t>Recent Developments</w:t>
      </w:r>
    </w:p>
    <w:p w14:paraId="0843F80A" w14:textId="77CB2F5F" w:rsidR="00275D85" w:rsidRDefault="00275D85" w:rsidP="00275D85">
      <w:pPr>
        <w:spacing w:before="240" w:after="0" w:line="240" w:lineRule="auto"/>
        <w:jc w:val="both"/>
      </w:pPr>
      <w:r>
        <w:t xml:space="preserve">During 2022, the Company has been focusing its </w:t>
      </w:r>
      <w:r w:rsidR="00CC6ED8">
        <w:t xml:space="preserve">exploration activities </w:t>
      </w:r>
      <w:r>
        <w:t xml:space="preserve">on its </w:t>
      </w:r>
      <w:r w:rsidRPr="00275D85">
        <w:t>Charlevoix Silica Project</w:t>
      </w:r>
      <w:r>
        <w:t>.  P</w:t>
      </w:r>
      <w:r w:rsidRPr="00275D85">
        <w:t xml:space="preserve">roperty wide geological mapping, a structural study, </w:t>
      </w:r>
      <w:proofErr w:type="spellStart"/>
      <w:r w:rsidR="00F71384">
        <w:t>av</w:t>
      </w:r>
      <w:r w:rsidRPr="00275D85">
        <w:t>geochemical</w:t>
      </w:r>
      <w:proofErr w:type="spellEnd"/>
      <w:r w:rsidRPr="00275D85">
        <w:t xml:space="preserve"> and </w:t>
      </w:r>
      <w:r w:rsidR="00CC6ED8" w:rsidRPr="00275D85">
        <w:t>petrophysical</w:t>
      </w:r>
      <w:r w:rsidRPr="00275D85">
        <w:t xml:space="preserve"> sampling</w:t>
      </w:r>
      <w:r w:rsidR="00F71384">
        <w:t xml:space="preserve"> program</w:t>
      </w:r>
      <w:r w:rsidRPr="00275D85">
        <w:t xml:space="preserve"> was ca</w:t>
      </w:r>
      <w:r w:rsidR="00F71384">
        <w:t>rried out, stripping of the main zone outcrop was completed, as well as channel sampling and detailed mapping.</w:t>
      </w:r>
    </w:p>
    <w:p w14:paraId="2C0CFDA3" w14:textId="48E54C7E" w:rsidR="00275D85" w:rsidRDefault="00275D85" w:rsidP="00275D85">
      <w:pPr>
        <w:spacing w:before="240" w:after="0" w:line="240" w:lineRule="auto"/>
        <w:jc w:val="both"/>
      </w:pPr>
      <w:r w:rsidRPr="00275D85">
        <w:t xml:space="preserve">The first phase of </w:t>
      </w:r>
      <w:r w:rsidR="00F71384">
        <w:t>a</w:t>
      </w:r>
      <w:r w:rsidRPr="00275D85">
        <w:t xml:space="preserve"> mobile pilot plant has been undergoing preliminary testing. The pilot plant (first phase) consists of a rock crusher capable of producing different sizes, different screens, and a ceramic ball mill to minimize metal contamination.</w:t>
      </w:r>
    </w:p>
    <w:p w14:paraId="4E7AC388" w14:textId="77777777" w:rsidR="00275D85" w:rsidRPr="00275D85" w:rsidRDefault="00275D85" w:rsidP="00275D85">
      <w:pPr>
        <w:spacing w:before="240" w:after="0" w:line="240" w:lineRule="auto"/>
        <w:jc w:val="both"/>
      </w:pPr>
      <w:r w:rsidRPr="00275D85">
        <w:t xml:space="preserve">As a result of prospecting and mapping, new zones of potentially high-grade quartzite outcroppings have been identified resulting in the need to acquire additional mineral claims along the northern edge of original claim block. </w:t>
      </w:r>
    </w:p>
    <w:p w14:paraId="532965E9" w14:textId="41CCF4DD" w:rsidR="00CC6ED8" w:rsidRPr="00275D85" w:rsidRDefault="00CC6ED8" w:rsidP="00275D85">
      <w:pPr>
        <w:spacing w:before="240" w:after="0" w:line="240" w:lineRule="auto"/>
        <w:jc w:val="both"/>
      </w:pPr>
      <w:r w:rsidRPr="00CC6ED8">
        <w:t xml:space="preserve">Further to the Company’s press release dated November 10, 2022, </w:t>
      </w:r>
      <w:r>
        <w:t>the Company</w:t>
      </w:r>
      <w:r w:rsidRPr="00CC6ED8">
        <w:t xml:space="preserve"> is pleased to announce that it has completed the issuance of the 5,000,000 common shares, at a deemed issue price of $0.07 per share, to the vendor pursuant to the property acquisition agreement</w:t>
      </w:r>
      <w:r>
        <w:t xml:space="preserve"> dated November 7, 2022</w:t>
      </w:r>
      <w:r w:rsidRPr="00CC6ED8">
        <w:t xml:space="preserve">.  The properties consist of a total of 248 mineral claims totaling 14,257 hectares. The 5,000,000 common shares are subject to a hold period expiring on April 13, 2023. Pursuant to the closing, the Company also entered into a royalty agreement with respect to the 1% royalty on gross revenues from the sale of pure hydrogen arising from the lands underlying the properties acquired by </w:t>
      </w:r>
      <w:r>
        <w:t>the Company</w:t>
      </w:r>
      <w:r w:rsidRPr="00CC6ED8">
        <w:t>.</w:t>
      </w:r>
    </w:p>
    <w:p w14:paraId="2EFF5C37" w14:textId="6DBBDB76" w:rsidR="002D41A4" w:rsidRPr="002D41A4" w:rsidRDefault="002D41A4" w:rsidP="00CF5E7B">
      <w:pPr>
        <w:keepNext/>
        <w:spacing w:before="240" w:after="0" w:line="240" w:lineRule="auto"/>
        <w:jc w:val="both"/>
        <w:rPr>
          <w:b/>
          <w:bCs/>
        </w:rPr>
      </w:pPr>
      <w:r w:rsidRPr="002D41A4">
        <w:rPr>
          <w:b/>
          <w:bCs/>
        </w:rPr>
        <w:t>Material Facts</w:t>
      </w:r>
    </w:p>
    <w:p w14:paraId="42D32725" w14:textId="77777777" w:rsidR="00751976" w:rsidRDefault="00751976" w:rsidP="00CF5E7B">
      <w:pPr>
        <w:spacing w:before="240" w:after="0" w:line="240" w:lineRule="auto"/>
        <w:jc w:val="both"/>
      </w:pPr>
      <w:r>
        <w:t xml:space="preserve">There are no material facts about the securities being distributed that have not been disclosed in this offering document or in any other document filed by the Company in the 12 months preceding the date of this offering document. </w:t>
      </w:r>
    </w:p>
    <w:p w14:paraId="275722C6" w14:textId="01459E7A" w:rsidR="00782AF7" w:rsidRDefault="00EC6997" w:rsidP="00CF5E7B">
      <w:pPr>
        <w:spacing w:before="240" w:after="0" w:line="240" w:lineRule="auto"/>
        <w:jc w:val="both"/>
      </w:pPr>
      <w:bookmarkStart w:id="1" w:name="_Hlk120634417"/>
      <w:r>
        <w:t xml:space="preserve">In addition to the securities being offered under the Listed Issuer Financing Exemption, the </w:t>
      </w:r>
      <w:r w:rsidR="000112D2">
        <w:t>Company</w:t>
      </w:r>
      <w:r>
        <w:t xml:space="preserve"> will also be offering the following </w:t>
      </w:r>
      <w:r w:rsidR="00075E13">
        <w:t>“flow through”</w:t>
      </w:r>
      <w:r w:rsidR="00D0249B">
        <w:t xml:space="preserve"> </w:t>
      </w:r>
      <w:r w:rsidR="00CF5E7B">
        <w:t>units</w:t>
      </w:r>
      <w:r>
        <w:t xml:space="preserve"> on a non-brokered private placement basis:</w:t>
      </w:r>
    </w:p>
    <w:p w14:paraId="0AF8F141" w14:textId="7F894875" w:rsidR="00206FA3" w:rsidRDefault="00E0258F" w:rsidP="00D0249B">
      <w:pPr>
        <w:pStyle w:val="ListParagraph"/>
        <w:numPr>
          <w:ilvl w:val="0"/>
          <w:numId w:val="9"/>
        </w:numPr>
        <w:spacing w:before="240" w:after="0" w:line="240" w:lineRule="auto"/>
        <w:jc w:val="both"/>
      </w:pPr>
      <w:r w:rsidRPr="00DF0757">
        <w:t xml:space="preserve">National </w:t>
      </w:r>
      <w:r w:rsidR="00206FA3" w:rsidRPr="00DF0757">
        <w:t xml:space="preserve">Flow Through </w:t>
      </w:r>
      <w:r w:rsidR="00D11C13" w:rsidRPr="00DF0757">
        <w:t>–</w:t>
      </w:r>
      <w:r w:rsidR="00206FA3" w:rsidRPr="00DF0757">
        <w:t xml:space="preserve"> </w:t>
      </w:r>
      <w:r w:rsidR="00CC6ED8">
        <w:t>2</w:t>
      </w:r>
      <w:r w:rsidR="004D78AC">
        <w:t>0,000,000</w:t>
      </w:r>
      <w:r w:rsidR="00CF5E7B">
        <w:t xml:space="preserve"> Units at a purchase price of $0.05 per Unit, for gross proceeds of up to $</w:t>
      </w:r>
      <w:r w:rsidR="00CC6ED8">
        <w:t>1,</w:t>
      </w:r>
      <w:r w:rsidR="004D78AC">
        <w:t>00,000</w:t>
      </w:r>
      <w:r w:rsidR="00CF5E7B">
        <w:t>. Each unit is convertible into one (1)</w:t>
      </w:r>
      <w:r w:rsidR="00DF0757">
        <w:t xml:space="preserve"> </w:t>
      </w:r>
      <w:r w:rsidR="00075E13">
        <w:t xml:space="preserve">common </w:t>
      </w:r>
      <w:r w:rsidR="00DF0757">
        <w:t>share</w:t>
      </w:r>
      <w:r w:rsidR="00CF5E7B">
        <w:t xml:space="preserve"> of the Issuer and </w:t>
      </w:r>
      <w:r w:rsidR="00F31798">
        <w:t>1/2</w:t>
      </w:r>
      <w:r w:rsidR="00CF5E7B">
        <w:t xml:space="preserve"> </w:t>
      </w:r>
      <w:r w:rsidR="00F31798">
        <w:t xml:space="preserve">common </w:t>
      </w:r>
      <w:r w:rsidR="00CF5E7B">
        <w:t xml:space="preserve">share purchase warrant.  Each whole warrant is convertible into </w:t>
      </w:r>
      <w:r w:rsidR="00E562AB">
        <w:t>$0.</w:t>
      </w:r>
      <w:r w:rsidR="00CF5E7B">
        <w:t xml:space="preserve">075 </w:t>
      </w:r>
      <w:r w:rsidR="00F3187E">
        <w:t xml:space="preserve">per </w:t>
      </w:r>
      <w:r w:rsidR="00CF5E7B">
        <w:t xml:space="preserve">warrant </w:t>
      </w:r>
      <w:r w:rsidR="00F3187E">
        <w:t>share</w:t>
      </w:r>
      <w:r w:rsidR="00CC6ED8">
        <w:t xml:space="preserve"> for a period of 24 months</w:t>
      </w:r>
      <w:r w:rsidR="00CF5E7B">
        <w:t xml:space="preserve">.  </w:t>
      </w:r>
    </w:p>
    <w:p w14:paraId="610CF468" w14:textId="5A57491C" w:rsidR="00EC6997" w:rsidRDefault="00206FA3" w:rsidP="00D0249B">
      <w:pPr>
        <w:pStyle w:val="ListParagraph"/>
        <w:numPr>
          <w:ilvl w:val="0"/>
          <w:numId w:val="9"/>
        </w:numPr>
        <w:spacing w:before="240" w:after="0" w:line="240" w:lineRule="auto"/>
        <w:jc w:val="both"/>
      </w:pPr>
      <w:r w:rsidRPr="00F3187E">
        <w:t xml:space="preserve">Quebec Flow Through – </w:t>
      </w:r>
      <w:r w:rsidR="00CC6ED8">
        <w:t>2</w:t>
      </w:r>
      <w:r w:rsidR="00F31798">
        <w:t>0,000,000 Units at a purchase price of $0.05 per Unit, for gross proceeds of up to $</w:t>
      </w:r>
      <w:r w:rsidR="00CC6ED8">
        <w:t>1,0</w:t>
      </w:r>
      <w:r w:rsidR="00F31798">
        <w:t xml:space="preserve">00,000. Each unit is convertible into one (1) common share of the Issuer and 1/2 </w:t>
      </w:r>
      <w:r w:rsidR="00F31798">
        <w:lastRenderedPageBreak/>
        <w:t>common share purchase warrant.  Each whole warrant is convertible into $0.075 per warrant share</w:t>
      </w:r>
      <w:r w:rsidR="00CC6ED8">
        <w:t xml:space="preserve"> for a period of 24 months</w:t>
      </w:r>
      <w:r w:rsidR="00F31798">
        <w:t>.</w:t>
      </w:r>
      <w:r w:rsidR="00CF5E7B">
        <w:t xml:space="preserve"> </w:t>
      </w:r>
    </w:p>
    <w:bookmarkEnd w:id="1"/>
    <w:p w14:paraId="381E3C26" w14:textId="36C7ABCC" w:rsidR="00122834" w:rsidRPr="00D83960" w:rsidRDefault="00122834" w:rsidP="00D0249B">
      <w:pPr>
        <w:spacing w:before="240" w:after="0" w:line="240" w:lineRule="auto"/>
        <w:jc w:val="both"/>
      </w:pPr>
      <w:r>
        <w:t>There can be no guarantee that the Company will be successful in raising the maximum amount under this Offering or closing the other contemplated concurrent “flow through” common share offering.</w:t>
      </w:r>
    </w:p>
    <w:p w14:paraId="60D17097" w14:textId="2A16CA27" w:rsidR="002D41A4" w:rsidRPr="002D41A4" w:rsidRDefault="002D41A4" w:rsidP="00C16AAA">
      <w:pPr>
        <w:keepNext/>
        <w:spacing w:before="240" w:after="0" w:line="240" w:lineRule="auto"/>
        <w:jc w:val="both"/>
        <w:rPr>
          <w:b/>
          <w:bCs/>
        </w:rPr>
      </w:pPr>
      <w:r w:rsidRPr="002D41A4">
        <w:rPr>
          <w:b/>
          <w:bCs/>
        </w:rPr>
        <w:t>Business Objectives and Milestones</w:t>
      </w:r>
    </w:p>
    <w:p w14:paraId="4756149B" w14:textId="61AB17EF" w:rsidR="002D41A4" w:rsidRPr="002D41A4" w:rsidRDefault="002D41A4" w:rsidP="00C16AAA">
      <w:pPr>
        <w:keepNext/>
        <w:spacing w:before="240" w:after="0" w:line="240" w:lineRule="auto"/>
        <w:jc w:val="both"/>
        <w:rPr>
          <w:b/>
          <w:bCs/>
        </w:rPr>
      </w:pPr>
      <w:r w:rsidRPr="002D41A4">
        <w:rPr>
          <w:b/>
          <w:bCs/>
        </w:rPr>
        <w:t>What are the business objectives that we expect to accomplish using the available funds?</w:t>
      </w:r>
    </w:p>
    <w:p w14:paraId="36144CE5" w14:textId="590D1E07" w:rsidR="0067779C" w:rsidRDefault="001E407A" w:rsidP="00C16AAA">
      <w:pPr>
        <w:spacing w:before="240" w:after="0" w:line="240" w:lineRule="auto"/>
        <w:jc w:val="both"/>
      </w:pPr>
      <w:r>
        <w:t xml:space="preserve">The Company intends to use the net </w:t>
      </w:r>
      <w:r w:rsidR="00075E13">
        <w:t xml:space="preserve">proceeds </w:t>
      </w:r>
      <w:r>
        <w:t xml:space="preserve">from the Offering for </w:t>
      </w:r>
      <w:r w:rsidR="00F31798">
        <w:t>general working capital</w:t>
      </w:r>
      <w:r w:rsidR="0067779C">
        <w:t>.</w:t>
      </w:r>
    </w:p>
    <w:p w14:paraId="4E034B01" w14:textId="0FEB19DD" w:rsidR="002D41A4" w:rsidRPr="002D41A4" w:rsidRDefault="002D41A4" w:rsidP="00C16AAA">
      <w:pPr>
        <w:keepNext/>
        <w:spacing w:before="240" w:after="0" w:line="240" w:lineRule="auto"/>
        <w:jc w:val="center"/>
        <w:rPr>
          <w:b/>
          <w:bCs/>
        </w:rPr>
      </w:pPr>
      <w:r w:rsidRPr="002D41A4">
        <w:rPr>
          <w:b/>
          <w:bCs/>
        </w:rPr>
        <w:t>USE OF AVAILABLE FUNDS</w:t>
      </w:r>
    </w:p>
    <w:p w14:paraId="494BDEAB" w14:textId="007D41E9" w:rsidR="002D41A4" w:rsidRPr="002D41A4" w:rsidRDefault="002D41A4" w:rsidP="00D0249B">
      <w:pPr>
        <w:keepNext/>
        <w:spacing w:before="240" w:after="0" w:line="240" w:lineRule="auto"/>
        <w:jc w:val="both"/>
        <w:rPr>
          <w:b/>
          <w:bCs/>
        </w:rPr>
      </w:pPr>
      <w:r w:rsidRPr="002D41A4">
        <w:rPr>
          <w:b/>
          <w:bCs/>
        </w:rPr>
        <w:t>Available Funds</w:t>
      </w:r>
    </w:p>
    <w:p w14:paraId="60564190" w14:textId="37F9F0F5" w:rsidR="002D41A4" w:rsidRPr="002D41A4" w:rsidRDefault="002D41A4" w:rsidP="00D0249B">
      <w:pPr>
        <w:keepNext/>
        <w:spacing w:before="240" w:after="0" w:line="240" w:lineRule="auto"/>
        <w:jc w:val="both"/>
        <w:rPr>
          <w:b/>
          <w:bCs/>
        </w:rPr>
      </w:pPr>
      <w:r w:rsidRPr="002D41A4">
        <w:rPr>
          <w:b/>
          <w:bCs/>
        </w:rPr>
        <w:t>What will our available funds be upon the closing of the offering?</w:t>
      </w:r>
    </w:p>
    <w:p w14:paraId="19FACDF5" w14:textId="2C933A7A" w:rsidR="00782AF7" w:rsidRDefault="00DD40B0" w:rsidP="005769A1">
      <w:pPr>
        <w:spacing w:before="240" w:after="0" w:line="240" w:lineRule="auto"/>
        <w:jc w:val="both"/>
      </w:pPr>
      <w:r>
        <w:t>The expected availability of funds is $</w:t>
      </w:r>
      <w:r w:rsidR="00986F06">
        <w:t>1.27</w:t>
      </w:r>
      <w:r>
        <w:t xml:space="preserve"> million and $</w:t>
      </w:r>
      <w:r w:rsidR="00986F06">
        <w:t>1.61</w:t>
      </w:r>
      <w:r w:rsidR="00D0249B">
        <w:t xml:space="preserve"> </w:t>
      </w:r>
      <w:r>
        <w:t>million for the minimum and maximum offering size, respectively.</w:t>
      </w:r>
    </w:p>
    <w:p w14:paraId="72DC06A6" w14:textId="77777777" w:rsidR="00DD40B0" w:rsidRDefault="00DD40B0" w:rsidP="005769A1">
      <w:pPr>
        <w:spacing w:after="0" w:line="240" w:lineRule="auto"/>
        <w:jc w:val="both"/>
      </w:pPr>
    </w:p>
    <w:tbl>
      <w:tblPr>
        <w:tblStyle w:val="TableGrid"/>
        <w:tblW w:w="0" w:type="auto"/>
        <w:tblLook w:val="04A0" w:firstRow="1" w:lastRow="0" w:firstColumn="1" w:lastColumn="0" w:noHBand="0" w:noVBand="1"/>
      </w:tblPr>
      <w:tblGrid>
        <w:gridCol w:w="1255"/>
        <w:gridCol w:w="3419"/>
        <w:gridCol w:w="2338"/>
        <w:gridCol w:w="2338"/>
      </w:tblGrid>
      <w:tr w:rsidR="00434184" w:rsidRPr="00956DE3" w14:paraId="35A06809" w14:textId="77777777" w:rsidTr="005769A1">
        <w:tc>
          <w:tcPr>
            <w:tcW w:w="1255" w:type="dxa"/>
            <w:shd w:val="clear" w:color="auto" w:fill="auto"/>
            <w:vAlign w:val="bottom"/>
          </w:tcPr>
          <w:p w14:paraId="51DFFE4B" w14:textId="77777777" w:rsidR="00434184" w:rsidRPr="00956DE3" w:rsidRDefault="00434184" w:rsidP="005769A1">
            <w:pPr>
              <w:spacing w:before="240" w:after="120"/>
              <w:jc w:val="center"/>
              <w:rPr>
                <w:b/>
                <w:bCs/>
              </w:rPr>
            </w:pPr>
          </w:p>
        </w:tc>
        <w:tc>
          <w:tcPr>
            <w:tcW w:w="3419" w:type="dxa"/>
            <w:shd w:val="clear" w:color="auto" w:fill="auto"/>
            <w:vAlign w:val="bottom"/>
          </w:tcPr>
          <w:p w14:paraId="192B72E4" w14:textId="29263263" w:rsidR="00434184" w:rsidRPr="00956DE3" w:rsidRDefault="00434184" w:rsidP="005769A1">
            <w:pPr>
              <w:spacing w:before="240" w:after="120"/>
              <w:jc w:val="center"/>
              <w:rPr>
                <w:b/>
                <w:bCs/>
              </w:rPr>
            </w:pPr>
          </w:p>
        </w:tc>
        <w:tc>
          <w:tcPr>
            <w:tcW w:w="2338" w:type="dxa"/>
            <w:shd w:val="clear" w:color="auto" w:fill="auto"/>
            <w:vAlign w:val="bottom"/>
          </w:tcPr>
          <w:p w14:paraId="32E36108" w14:textId="173FE7E6" w:rsidR="00434184" w:rsidRPr="00956DE3" w:rsidRDefault="00434184" w:rsidP="005769A1">
            <w:pPr>
              <w:spacing w:before="240" w:after="120"/>
              <w:jc w:val="center"/>
              <w:rPr>
                <w:b/>
                <w:bCs/>
              </w:rPr>
            </w:pPr>
            <w:r w:rsidRPr="00956DE3">
              <w:rPr>
                <w:b/>
                <w:bCs/>
              </w:rPr>
              <w:t xml:space="preserve">Assuming minimum </w:t>
            </w:r>
            <w:r w:rsidR="00956DE3" w:rsidRPr="00956DE3">
              <w:rPr>
                <w:b/>
                <w:bCs/>
              </w:rPr>
              <w:t>o</w:t>
            </w:r>
            <w:r w:rsidRPr="00956DE3">
              <w:rPr>
                <w:b/>
                <w:bCs/>
              </w:rPr>
              <w:t>ffering only</w:t>
            </w:r>
          </w:p>
        </w:tc>
        <w:tc>
          <w:tcPr>
            <w:tcW w:w="2338" w:type="dxa"/>
            <w:shd w:val="clear" w:color="auto" w:fill="auto"/>
            <w:vAlign w:val="bottom"/>
          </w:tcPr>
          <w:p w14:paraId="580E3F54" w14:textId="4654FF88" w:rsidR="00434184" w:rsidRPr="00956DE3" w:rsidRDefault="00434184" w:rsidP="005769A1">
            <w:pPr>
              <w:spacing w:before="240" w:after="120"/>
              <w:jc w:val="center"/>
              <w:rPr>
                <w:b/>
                <w:bCs/>
              </w:rPr>
            </w:pPr>
            <w:r w:rsidRPr="00956DE3">
              <w:rPr>
                <w:b/>
                <w:bCs/>
              </w:rPr>
              <w:t xml:space="preserve">Assuming 100% of this </w:t>
            </w:r>
            <w:r w:rsidR="00956DE3" w:rsidRPr="00956DE3">
              <w:rPr>
                <w:b/>
                <w:bCs/>
              </w:rPr>
              <w:t>o</w:t>
            </w:r>
            <w:r w:rsidRPr="00956DE3">
              <w:rPr>
                <w:b/>
                <w:bCs/>
              </w:rPr>
              <w:t>ffering</w:t>
            </w:r>
          </w:p>
        </w:tc>
      </w:tr>
      <w:tr w:rsidR="00956DE3" w14:paraId="111A166E" w14:textId="77777777" w:rsidTr="005769A1">
        <w:tc>
          <w:tcPr>
            <w:tcW w:w="1255" w:type="dxa"/>
            <w:shd w:val="clear" w:color="auto" w:fill="auto"/>
          </w:tcPr>
          <w:p w14:paraId="65C3F809" w14:textId="7E3C9C4E" w:rsidR="00956DE3" w:rsidRDefault="00956DE3" w:rsidP="005769A1">
            <w:pPr>
              <w:spacing w:before="240"/>
              <w:jc w:val="center"/>
            </w:pPr>
            <w:r>
              <w:t>A</w:t>
            </w:r>
          </w:p>
        </w:tc>
        <w:tc>
          <w:tcPr>
            <w:tcW w:w="3419" w:type="dxa"/>
            <w:shd w:val="clear" w:color="auto" w:fill="auto"/>
          </w:tcPr>
          <w:p w14:paraId="2A0F5826" w14:textId="1AD2081E" w:rsidR="00956DE3" w:rsidRDefault="00956DE3" w:rsidP="005769A1">
            <w:pPr>
              <w:spacing w:before="240"/>
            </w:pPr>
            <w:r>
              <w:t>Amount to be raised by this offering</w:t>
            </w:r>
          </w:p>
        </w:tc>
        <w:tc>
          <w:tcPr>
            <w:tcW w:w="2338" w:type="dxa"/>
            <w:shd w:val="clear" w:color="auto" w:fill="auto"/>
          </w:tcPr>
          <w:p w14:paraId="29B56C58" w14:textId="1461DF68" w:rsidR="00956DE3" w:rsidRDefault="00616086" w:rsidP="005769A1">
            <w:pPr>
              <w:spacing w:before="240"/>
              <w:ind w:left="258"/>
            </w:pPr>
            <w:r w:rsidRPr="00616086">
              <w:t>$</w:t>
            </w:r>
            <w:r w:rsidR="004D78AC">
              <w:t>2</w:t>
            </w:r>
            <w:r w:rsidR="00680DF6">
              <w:t>0</w:t>
            </w:r>
            <w:r w:rsidR="004D78AC">
              <w:t>0,000</w:t>
            </w:r>
          </w:p>
        </w:tc>
        <w:tc>
          <w:tcPr>
            <w:tcW w:w="2338" w:type="dxa"/>
            <w:shd w:val="clear" w:color="auto" w:fill="auto"/>
          </w:tcPr>
          <w:p w14:paraId="300A2AD6" w14:textId="429C037E" w:rsidR="00956DE3" w:rsidRPr="00616086" w:rsidRDefault="00956DE3" w:rsidP="005769A1">
            <w:pPr>
              <w:spacing w:before="240"/>
              <w:ind w:left="348"/>
            </w:pPr>
            <w:r w:rsidRPr="00616086">
              <w:t>$</w:t>
            </w:r>
            <w:r w:rsidR="00680DF6">
              <w:t>575</w:t>
            </w:r>
            <w:r w:rsidR="004D78AC">
              <w:t>,000</w:t>
            </w:r>
          </w:p>
        </w:tc>
      </w:tr>
      <w:tr w:rsidR="005769A1" w14:paraId="1CD31F67" w14:textId="77777777" w:rsidTr="005769A1">
        <w:tc>
          <w:tcPr>
            <w:tcW w:w="1255" w:type="dxa"/>
            <w:shd w:val="clear" w:color="auto" w:fill="auto"/>
          </w:tcPr>
          <w:p w14:paraId="58E8D1DB" w14:textId="76456813" w:rsidR="005769A1" w:rsidRDefault="005769A1" w:rsidP="005769A1">
            <w:pPr>
              <w:spacing w:before="240"/>
              <w:jc w:val="center"/>
            </w:pPr>
            <w:r>
              <w:t>B</w:t>
            </w:r>
          </w:p>
        </w:tc>
        <w:tc>
          <w:tcPr>
            <w:tcW w:w="3419" w:type="dxa"/>
            <w:shd w:val="clear" w:color="auto" w:fill="auto"/>
          </w:tcPr>
          <w:p w14:paraId="76C79C11" w14:textId="21259AC1" w:rsidR="005769A1" w:rsidRDefault="005769A1" w:rsidP="005769A1">
            <w:pPr>
              <w:spacing w:before="240"/>
            </w:pPr>
            <w:r>
              <w:t>Selling commissions and fees</w:t>
            </w:r>
          </w:p>
        </w:tc>
        <w:tc>
          <w:tcPr>
            <w:tcW w:w="2338" w:type="dxa"/>
            <w:shd w:val="clear" w:color="auto" w:fill="auto"/>
          </w:tcPr>
          <w:p w14:paraId="62BB2C63" w14:textId="61C6D25B" w:rsidR="005769A1" w:rsidRPr="004A7932" w:rsidRDefault="005769A1" w:rsidP="005769A1">
            <w:pPr>
              <w:spacing w:before="240"/>
              <w:ind w:left="258"/>
            </w:pPr>
            <w:r w:rsidRPr="004A7932">
              <w:t>$</w:t>
            </w:r>
            <w:r w:rsidR="004D78AC" w:rsidRPr="004A7932">
              <w:t>2</w:t>
            </w:r>
            <w:r w:rsidR="00680DF6" w:rsidRPr="004A7932">
              <w:t>0</w:t>
            </w:r>
            <w:r w:rsidRPr="004A7932">
              <w:t>,000</w:t>
            </w:r>
          </w:p>
        </w:tc>
        <w:tc>
          <w:tcPr>
            <w:tcW w:w="2338" w:type="dxa"/>
            <w:shd w:val="clear" w:color="auto" w:fill="auto"/>
          </w:tcPr>
          <w:p w14:paraId="41A2C7AD" w14:textId="07836ABD" w:rsidR="005769A1" w:rsidRPr="004A7932" w:rsidRDefault="005769A1" w:rsidP="005769A1">
            <w:pPr>
              <w:spacing w:before="240"/>
              <w:ind w:left="348"/>
            </w:pPr>
            <w:r w:rsidRPr="004A7932">
              <w:t>$</w:t>
            </w:r>
            <w:r w:rsidR="00680DF6" w:rsidRPr="004A7932">
              <w:t>57</w:t>
            </w:r>
            <w:r w:rsidR="004D78AC" w:rsidRPr="004A7932">
              <w:t>,</w:t>
            </w:r>
            <w:r w:rsidR="00680DF6" w:rsidRPr="004A7932">
              <w:t>5</w:t>
            </w:r>
            <w:r w:rsidRPr="004A7932">
              <w:t>00</w:t>
            </w:r>
          </w:p>
        </w:tc>
      </w:tr>
      <w:tr w:rsidR="003C1A22" w14:paraId="453CBEBA" w14:textId="77777777" w:rsidTr="005769A1">
        <w:tc>
          <w:tcPr>
            <w:tcW w:w="1255" w:type="dxa"/>
            <w:shd w:val="clear" w:color="auto" w:fill="auto"/>
          </w:tcPr>
          <w:p w14:paraId="20AEB201" w14:textId="5FB697F6" w:rsidR="003C1A22" w:rsidRDefault="003C1A22" w:rsidP="005769A1">
            <w:pPr>
              <w:spacing w:before="240"/>
              <w:jc w:val="center"/>
            </w:pPr>
            <w:r>
              <w:t>C</w:t>
            </w:r>
          </w:p>
        </w:tc>
        <w:tc>
          <w:tcPr>
            <w:tcW w:w="3419" w:type="dxa"/>
            <w:shd w:val="clear" w:color="auto" w:fill="auto"/>
          </w:tcPr>
          <w:p w14:paraId="68EF8CAE" w14:textId="133289EE" w:rsidR="003C1A22" w:rsidRDefault="003C1A22" w:rsidP="005769A1">
            <w:pPr>
              <w:spacing w:before="240"/>
            </w:pPr>
            <w:r>
              <w:t>Estimated offering costs (</w:t>
            </w:r>
            <w:proofErr w:type="gramStart"/>
            <w:r>
              <w:t>e.g.</w:t>
            </w:r>
            <w:proofErr w:type="gramEnd"/>
            <w:r>
              <w:t xml:space="preserve"> legal, accounting, audit)</w:t>
            </w:r>
          </w:p>
        </w:tc>
        <w:tc>
          <w:tcPr>
            <w:tcW w:w="2338" w:type="dxa"/>
            <w:shd w:val="clear" w:color="auto" w:fill="auto"/>
          </w:tcPr>
          <w:p w14:paraId="48F4D184" w14:textId="4B33E468" w:rsidR="003C1A22" w:rsidRPr="004A7932" w:rsidRDefault="003C1A22" w:rsidP="005769A1">
            <w:pPr>
              <w:spacing w:before="240"/>
              <w:ind w:left="258"/>
            </w:pPr>
            <w:r w:rsidRPr="004A7932">
              <w:t>$</w:t>
            </w:r>
            <w:r w:rsidR="00680DF6" w:rsidRPr="004A7932">
              <w:t>40</w:t>
            </w:r>
            <w:r w:rsidR="00C616AC" w:rsidRPr="004A7932">
              <w:t>,000</w:t>
            </w:r>
          </w:p>
        </w:tc>
        <w:tc>
          <w:tcPr>
            <w:tcW w:w="2338" w:type="dxa"/>
            <w:shd w:val="clear" w:color="auto" w:fill="auto"/>
          </w:tcPr>
          <w:p w14:paraId="73169AC7" w14:textId="229ACCBB" w:rsidR="003C1A22" w:rsidRPr="004A7932" w:rsidRDefault="003C1A22" w:rsidP="005769A1">
            <w:pPr>
              <w:spacing w:before="240"/>
              <w:ind w:left="348"/>
            </w:pPr>
            <w:r w:rsidRPr="004A7932">
              <w:t>$</w:t>
            </w:r>
            <w:r w:rsidR="00680DF6" w:rsidRPr="004A7932">
              <w:t>40</w:t>
            </w:r>
            <w:r w:rsidR="00C616AC" w:rsidRPr="004A7932">
              <w:t>,000</w:t>
            </w:r>
          </w:p>
        </w:tc>
      </w:tr>
      <w:tr w:rsidR="003C1A22" w14:paraId="5FCF13F3" w14:textId="77777777" w:rsidTr="005769A1">
        <w:tc>
          <w:tcPr>
            <w:tcW w:w="1255" w:type="dxa"/>
            <w:shd w:val="clear" w:color="auto" w:fill="auto"/>
          </w:tcPr>
          <w:p w14:paraId="2ABF9178" w14:textId="7CBDF013" w:rsidR="003C1A22" w:rsidRDefault="003C1A22" w:rsidP="005769A1">
            <w:pPr>
              <w:spacing w:before="240"/>
              <w:jc w:val="center"/>
            </w:pPr>
            <w:r>
              <w:t>D</w:t>
            </w:r>
          </w:p>
        </w:tc>
        <w:tc>
          <w:tcPr>
            <w:tcW w:w="3419" w:type="dxa"/>
            <w:shd w:val="clear" w:color="auto" w:fill="auto"/>
          </w:tcPr>
          <w:p w14:paraId="123C6C55" w14:textId="77FB496C" w:rsidR="003C1A22" w:rsidRDefault="003C1A22" w:rsidP="005769A1">
            <w:pPr>
              <w:spacing w:before="240"/>
            </w:pPr>
            <w:r>
              <w:t>Net proceeds of offering:  D=A – (B+C)</w:t>
            </w:r>
          </w:p>
        </w:tc>
        <w:tc>
          <w:tcPr>
            <w:tcW w:w="2338" w:type="dxa"/>
            <w:shd w:val="clear" w:color="auto" w:fill="auto"/>
          </w:tcPr>
          <w:p w14:paraId="3314B426" w14:textId="68B664FD" w:rsidR="003C1A22" w:rsidRPr="004A7932" w:rsidRDefault="00A21199" w:rsidP="005769A1">
            <w:pPr>
              <w:spacing w:before="240"/>
              <w:ind w:left="258"/>
            </w:pPr>
            <w:r w:rsidRPr="004A7932">
              <w:t>$</w:t>
            </w:r>
            <w:r w:rsidR="004D78AC" w:rsidRPr="004A7932">
              <w:t>1</w:t>
            </w:r>
            <w:r w:rsidR="00680DF6" w:rsidRPr="004A7932">
              <w:t>40</w:t>
            </w:r>
            <w:r w:rsidR="001221C1" w:rsidRPr="004A7932">
              <w:t>,000</w:t>
            </w:r>
          </w:p>
        </w:tc>
        <w:tc>
          <w:tcPr>
            <w:tcW w:w="2338" w:type="dxa"/>
            <w:shd w:val="clear" w:color="auto" w:fill="auto"/>
          </w:tcPr>
          <w:p w14:paraId="3C4FE348" w14:textId="7C72B6D3" w:rsidR="003C1A22" w:rsidRPr="004A7932" w:rsidRDefault="003C1A22" w:rsidP="005769A1">
            <w:pPr>
              <w:spacing w:before="240"/>
              <w:ind w:left="348"/>
            </w:pPr>
            <w:r w:rsidRPr="004A7932">
              <w:t>$</w:t>
            </w:r>
            <w:r w:rsidR="00680DF6" w:rsidRPr="004A7932">
              <w:t>477,5</w:t>
            </w:r>
            <w:r w:rsidR="004D78AC" w:rsidRPr="004A7932">
              <w:t>00</w:t>
            </w:r>
          </w:p>
        </w:tc>
      </w:tr>
      <w:tr w:rsidR="003C1A22" w14:paraId="302484D3" w14:textId="77777777" w:rsidTr="005769A1">
        <w:tc>
          <w:tcPr>
            <w:tcW w:w="1255" w:type="dxa"/>
            <w:shd w:val="clear" w:color="auto" w:fill="auto"/>
          </w:tcPr>
          <w:p w14:paraId="2AB0A5E0" w14:textId="1DB01386" w:rsidR="003C1A22" w:rsidRDefault="003C1A22" w:rsidP="005769A1">
            <w:pPr>
              <w:spacing w:before="240"/>
              <w:jc w:val="center"/>
            </w:pPr>
            <w:r>
              <w:t>E</w:t>
            </w:r>
          </w:p>
        </w:tc>
        <w:tc>
          <w:tcPr>
            <w:tcW w:w="3419" w:type="dxa"/>
            <w:shd w:val="clear" w:color="auto" w:fill="auto"/>
          </w:tcPr>
          <w:p w14:paraId="55D85820" w14:textId="7336AC89" w:rsidR="003C1A22" w:rsidRDefault="003C1A22" w:rsidP="005769A1">
            <w:pPr>
              <w:spacing w:before="240"/>
            </w:pPr>
            <w:r>
              <w:t>Working capital as at most recent month end (deficiency</w:t>
            </w:r>
            <w:r w:rsidR="002655B6">
              <w:t>)</w:t>
            </w:r>
          </w:p>
        </w:tc>
        <w:tc>
          <w:tcPr>
            <w:tcW w:w="2338" w:type="dxa"/>
            <w:shd w:val="clear" w:color="auto" w:fill="auto"/>
          </w:tcPr>
          <w:p w14:paraId="67B9A4B1" w14:textId="5C9C9096" w:rsidR="003C1A22" w:rsidRPr="004A7932" w:rsidRDefault="003C1A22" w:rsidP="005769A1">
            <w:pPr>
              <w:spacing w:before="240"/>
              <w:ind w:left="258"/>
            </w:pPr>
            <w:r w:rsidRPr="004A7932">
              <w:t>$</w:t>
            </w:r>
            <w:r w:rsidR="00986F06" w:rsidRPr="004A7932">
              <w:t>1,133,000</w:t>
            </w:r>
          </w:p>
        </w:tc>
        <w:tc>
          <w:tcPr>
            <w:tcW w:w="2338" w:type="dxa"/>
            <w:shd w:val="clear" w:color="auto" w:fill="auto"/>
          </w:tcPr>
          <w:p w14:paraId="57F01362" w14:textId="5059844F" w:rsidR="003C1A22" w:rsidRPr="004A7932" w:rsidRDefault="003C1A22" w:rsidP="005769A1">
            <w:pPr>
              <w:spacing w:before="240"/>
              <w:ind w:left="348"/>
            </w:pPr>
            <w:r w:rsidRPr="004A7932">
              <w:t>$</w:t>
            </w:r>
            <w:r w:rsidR="00986F06" w:rsidRPr="004A7932">
              <w:t>1,133,000</w:t>
            </w:r>
          </w:p>
        </w:tc>
      </w:tr>
      <w:tr w:rsidR="003C1A22" w14:paraId="014E88DC" w14:textId="77777777" w:rsidTr="005769A1">
        <w:tc>
          <w:tcPr>
            <w:tcW w:w="1255" w:type="dxa"/>
            <w:shd w:val="clear" w:color="auto" w:fill="auto"/>
          </w:tcPr>
          <w:p w14:paraId="0AFC836B" w14:textId="06E9B0A8" w:rsidR="003C1A22" w:rsidRDefault="003C1A22" w:rsidP="005769A1">
            <w:pPr>
              <w:spacing w:before="240"/>
              <w:jc w:val="center"/>
            </w:pPr>
            <w:r>
              <w:t>F</w:t>
            </w:r>
          </w:p>
        </w:tc>
        <w:tc>
          <w:tcPr>
            <w:tcW w:w="3419" w:type="dxa"/>
            <w:shd w:val="clear" w:color="auto" w:fill="auto"/>
          </w:tcPr>
          <w:p w14:paraId="144A66C2" w14:textId="3D47D2DA" w:rsidR="003C1A22" w:rsidRDefault="003C1A22" w:rsidP="005769A1">
            <w:pPr>
              <w:spacing w:before="240"/>
            </w:pPr>
            <w:r>
              <w:t>Additional sources of funding</w:t>
            </w:r>
          </w:p>
        </w:tc>
        <w:tc>
          <w:tcPr>
            <w:tcW w:w="2338" w:type="dxa"/>
            <w:shd w:val="clear" w:color="auto" w:fill="auto"/>
          </w:tcPr>
          <w:p w14:paraId="0554CD83" w14:textId="13B15D59" w:rsidR="003C1A22" w:rsidRPr="00986F06" w:rsidRDefault="003C1A22" w:rsidP="005769A1">
            <w:pPr>
              <w:spacing w:before="240"/>
              <w:ind w:left="258"/>
            </w:pPr>
            <w:r w:rsidRPr="00986F06">
              <w:t>$</w:t>
            </w:r>
            <w:r w:rsidR="00C616AC" w:rsidRPr="00986F06">
              <w:t>-</w:t>
            </w:r>
          </w:p>
        </w:tc>
        <w:tc>
          <w:tcPr>
            <w:tcW w:w="2338" w:type="dxa"/>
            <w:shd w:val="clear" w:color="auto" w:fill="auto"/>
          </w:tcPr>
          <w:p w14:paraId="215CD470" w14:textId="622AA9AA" w:rsidR="003C1A22" w:rsidRPr="00986F06" w:rsidRDefault="003C1A22" w:rsidP="005769A1">
            <w:pPr>
              <w:spacing w:before="240"/>
              <w:ind w:left="348"/>
            </w:pPr>
            <w:r w:rsidRPr="00986F06">
              <w:t>$</w:t>
            </w:r>
            <w:r w:rsidR="00C616AC" w:rsidRPr="00986F06">
              <w:t>-</w:t>
            </w:r>
          </w:p>
        </w:tc>
      </w:tr>
      <w:tr w:rsidR="005769A1" w14:paraId="37D957F7" w14:textId="77777777" w:rsidTr="005769A1">
        <w:tc>
          <w:tcPr>
            <w:tcW w:w="1255" w:type="dxa"/>
            <w:shd w:val="clear" w:color="auto" w:fill="auto"/>
          </w:tcPr>
          <w:p w14:paraId="361F0E4F" w14:textId="4E2AE09E" w:rsidR="005769A1" w:rsidRDefault="005769A1" w:rsidP="005769A1">
            <w:pPr>
              <w:spacing w:before="240"/>
              <w:jc w:val="center"/>
            </w:pPr>
            <w:r>
              <w:t>G</w:t>
            </w:r>
          </w:p>
        </w:tc>
        <w:tc>
          <w:tcPr>
            <w:tcW w:w="3419" w:type="dxa"/>
            <w:shd w:val="clear" w:color="auto" w:fill="auto"/>
          </w:tcPr>
          <w:p w14:paraId="6074AD49" w14:textId="26C5E7CD" w:rsidR="005769A1" w:rsidRDefault="005769A1" w:rsidP="005769A1">
            <w:pPr>
              <w:spacing w:before="240"/>
            </w:pPr>
            <w:r>
              <w:t>Total available funds: G = D+E+F</w:t>
            </w:r>
          </w:p>
        </w:tc>
        <w:tc>
          <w:tcPr>
            <w:tcW w:w="2338" w:type="dxa"/>
            <w:shd w:val="clear" w:color="auto" w:fill="auto"/>
          </w:tcPr>
          <w:p w14:paraId="7728B962" w14:textId="1BD7F9F4" w:rsidR="005769A1" w:rsidRPr="00986F06" w:rsidRDefault="005769A1" w:rsidP="005769A1">
            <w:pPr>
              <w:spacing w:before="240"/>
              <w:ind w:left="258"/>
            </w:pPr>
            <w:r w:rsidRPr="004A7932">
              <w:t>$</w:t>
            </w:r>
            <w:r w:rsidR="00986F06" w:rsidRPr="004A7932">
              <w:t>1,273,000</w:t>
            </w:r>
          </w:p>
        </w:tc>
        <w:tc>
          <w:tcPr>
            <w:tcW w:w="2338" w:type="dxa"/>
            <w:shd w:val="clear" w:color="auto" w:fill="auto"/>
          </w:tcPr>
          <w:p w14:paraId="705CEC12" w14:textId="73C3EBFA" w:rsidR="005769A1" w:rsidRPr="00986F06" w:rsidRDefault="005769A1" w:rsidP="005769A1">
            <w:pPr>
              <w:spacing w:before="240"/>
              <w:ind w:left="348"/>
            </w:pPr>
            <w:r w:rsidRPr="004A7932">
              <w:t>$</w:t>
            </w:r>
            <w:r w:rsidR="00986F06" w:rsidRPr="004A7932">
              <w:t>1,610,500</w:t>
            </w:r>
          </w:p>
        </w:tc>
      </w:tr>
    </w:tbl>
    <w:p w14:paraId="4B31A4B3" w14:textId="77777777" w:rsidR="00680DF6" w:rsidRDefault="00680DF6" w:rsidP="005769A1">
      <w:pPr>
        <w:keepNext/>
        <w:spacing w:before="240" w:after="0" w:line="240" w:lineRule="auto"/>
        <w:jc w:val="both"/>
        <w:rPr>
          <w:b/>
          <w:bCs/>
        </w:rPr>
      </w:pPr>
    </w:p>
    <w:p w14:paraId="6A411E65" w14:textId="77777777" w:rsidR="00680DF6" w:rsidRDefault="00680DF6">
      <w:pPr>
        <w:rPr>
          <w:b/>
          <w:bCs/>
        </w:rPr>
      </w:pPr>
      <w:r>
        <w:rPr>
          <w:b/>
          <w:bCs/>
        </w:rPr>
        <w:br w:type="page"/>
      </w:r>
    </w:p>
    <w:p w14:paraId="03A25E76" w14:textId="4A884EBA" w:rsidR="002D41A4" w:rsidRPr="002D41A4" w:rsidRDefault="002D41A4" w:rsidP="005769A1">
      <w:pPr>
        <w:keepNext/>
        <w:spacing w:before="240" w:after="0" w:line="240" w:lineRule="auto"/>
        <w:jc w:val="both"/>
        <w:rPr>
          <w:b/>
          <w:bCs/>
        </w:rPr>
      </w:pPr>
      <w:r w:rsidRPr="002D41A4">
        <w:rPr>
          <w:b/>
          <w:bCs/>
        </w:rPr>
        <w:lastRenderedPageBreak/>
        <w:t>Use of Available Funds</w:t>
      </w:r>
    </w:p>
    <w:p w14:paraId="1D15C233" w14:textId="43D6AF34" w:rsidR="002D41A4" w:rsidRPr="002D41A4" w:rsidRDefault="002D41A4" w:rsidP="005769A1">
      <w:pPr>
        <w:keepNext/>
        <w:spacing w:before="240" w:after="0" w:line="240" w:lineRule="auto"/>
        <w:jc w:val="both"/>
        <w:rPr>
          <w:b/>
          <w:bCs/>
        </w:rPr>
      </w:pPr>
      <w:r w:rsidRPr="002D41A4">
        <w:rPr>
          <w:b/>
          <w:bCs/>
        </w:rPr>
        <w:t>How will we use the available funds?</w:t>
      </w:r>
    </w:p>
    <w:p w14:paraId="0D96AB87" w14:textId="0E01AE12" w:rsidR="002D41A4" w:rsidRDefault="002D41A4" w:rsidP="005769A1">
      <w:pPr>
        <w:spacing w:after="0" w:line="240" w:lineRule="auto"/>
        <w:jc w:val="both"/>
      </w:pPr>
    </w:p>
    <w:tbl>
      <w:tblPr>
        <w:tblStyle w:val="TableGrid"/>
        <w:tblW w:w="0" w:type="auto"/>
        <w:tblLook w:val="04A0" w:firstRow="1" w:lastRow="0" w:firstColumn="1" w:lastColumn="0" w:noHBand="0" w:noVBand="1"/>
      </w:tblPr>
      <w:tblGrid>
        <w:gridCol w:w="3116"/>
        <w:gridCol w:w="3117"/>
        <w:gridCol w:w="3117"/>
      </w:tblGrid>
      <w:tr w:rsidR="000F619B" w:rsidRPr="00655F73" w14:paraId="33E9085A" w14:textId="77777777" w:rsidTr="00C806D7">
        <w:tc>
          <w:tcPr>
            <w:tcW w:w="3116" w:type="dxa"/>
            <w:vAlign w:val="bottom"/>
          </w:tcPr>
          <w:p w14:paraId="1BEDAA05" w14:textId="3EF9F9DE" w:rsidR="000F619B" w:rsidRPr="00655F73" w:rsidRDefault="000F619B" w:rsidP="005769A1">
            <w:pPr>
              <w:keepNext/>
              <w:spacing w:before="240" w:after="120"/>
              <w:jc w:val="center"/>
              <w:rPr>
                <w:b/>
                <w:bCs/>
              </w:rPr>
            </w:pPr>
            <w:r w:rsidRPr="00655F73">
              <w:rPr>
                <w:b/>
                <w:bCs/>
              </w:rPr>
              <w:t>Description of intended use of available funds listed in order of priority</w:t>
            </w:r>
          </w:p>
        </w:tc>
        <w:tc>
          <w:tcPr>
            <w:tcW w:w="3117" w:type="dxa"/>
            <w:vAlign w:val="bottom"/>
          </w:tcPr>
          <w:p w14:paraId="07A04974" w14:textId="5367ACC4" w:rsidR="000F619B" w:rsidRPr="00655F73" w:rsidRDefault="000F619B" w:rsidP="005769A1">
            <w:pPr>
              <w:keepNext/>
              <w:spacing w:before="240" w:after="120"/>
              <w:jc w:val="center"/>
              <w:rPr>
                <w:b/>
                <w:bCs/>
              </w:rPr>
            </w:pPr>
            <w:r w:rsidRPr="00655F73">
              <w:rPr>
                <w:b/>
                <w:bCs/>
              </w:rPr>
              <w:t>Assuming minimum offering only</w:t>
            </w:r>
          </w:p>
        </w:tc>
        <w:tc>
          <w:tcPr>
            <w:tcW w:w="3117" w:type="dxa"/>
            <w:vAlign w:val="bottom"/>
          </w:tcPr>
          <w:p w14:paraId="2B2E8D22" w14:textId="5292E230" w:rsidR="000F619B" w:rsidRPr="00655F73" w:rsidRDefault="000F619B" w:rsidP="005769A1">
            <w:pPr>
              <w:keepNext/>
              <w:spacing w:before="240" w:after="120"/>
              <w:jc w:val="center"/>
              <w:rPr>
                <w:b/>
                <w:bCs/>
              </w:rPr>
            </w:pPr>
            <w:r w:rsidRPr="00655F73">
              <w:rPr>
                <w:b/>
                <w:bCs/>
              </w:rPr>
              <w:t>Assuming 100% of offering</w:t>
            </w:r>
          </w:p>
        </w:tc>
      </w:tr>
      <w:tr w:rsidR="000F619B" w:rsidRPr="00986F06" w14:paraId="5E8A161E" w14:textId="77777777" w:rsidTr="000F619B">
        <w:tc>
          <w:tcPr>
            <w:tcW w:w="3116" w:type="dxa"/>
          </w:tcPr>
          <w:p w14:paraId="0DF2249D" w14:textId="46360DCE" w:rsidR="000F619B" w:rsidRPr="00986F06" w:rsidRDefault="00680DF6" w:rsidP="005769A1">
            <w:pPr>
              <w:spacing w:before="240"/>
            </w:pPr>
            <w:r w:rsidRPr="00986F06">
              <w:t>E</w:t>
            </w:r>
            <w:r w:rsidR="00C616AC" w:rsidRPr="00986F06">
              <w:t xml:space="preserve">xploration and evaluation of Company’s </w:t>
            </w:r>
            <w:r w:rsidR="00986F06">
              <w:t xml:space="preserve">existing exploration assets and its </w:t>
            </w:r>
            <w:r w:rsidRPr="00986F06">
              <w:t>newly acquired hydrogen and helium claims</w:t>
            </w:r>
          </w:p>
        </w:tc>
        <w:tc>
          <w:tcPr>
            <w:tcW w:w="3117" w:type="dxa"/>
          </w:tcPr>
          <w:p w14:paraId="1D734C31" w14:textId="7AEE6323" w:rsidR="000F619B" w:rsidRPr="004A7932" w:rsidRDefault="000F619B" w:rsidP="005769A1">
            <w:pPr>
              <w:spacing w:before="240"/>
              <w:ind w:left="280"/>
            </w:pPr>
            <w:r w:rsidRPr="004A7932">
              <w:t>$</w:t>
            </w:r>
            <w:r w:rsidR="00986F06" w:rsidRPr="004A7932">
              <w:t>913,000</w:t>
            </w:r>
          </w:p>
        </w:tc>
        <w:tc>
          <w:tcPr>
            <w:tcW w:w="3117" w:type="dxa"/>
          </w:tcPr>
          <w:p w14:paraId="6B3EAD45" w14:textId="6C80A0A9" w:rsidR="000F619B" w:rsidRPr="004A7932" w:rsidRDefault="000F619B" w:rsidP="005769A1">
            <w:pPr>
              <w:spacing w:before="240"/>
              <w:ind w:left="228"/>
            </w:pPr>
            <w:r w:rsidRPr="004A7932">
              <w:t>$</w:t>
            </w:r>
            <w:r w:rsidR="00986F06" w:rsidRPr="004A7932">
              <w:t>1,250,500</w:t>
            </w:r>
          </w:p>
        </w:tc>
      </w:tr>
      <w:tr w:rsidR="005769A1" w:rsidRPr="00986F06" w14:paraId="090A3E67" w14:textId="77777777" w:rsidTr="000F619B">
        <w:tc>
          <w:tcPr>
            <w:tcW w:w="3116" w:type="dxa"/>
          </w:tcPr>
          <w:p w14:paraId="727F6605" w14:textId="6F850AE2" w:rsidR="005769A1" w:rsidRPr="00986F06" w:rsidRDefault="005769A1" w:rsidP="005769A1">
            <w:pPr>
              <w:spacing w:before="240"/>
            </w:pPr>
            <w:r w:rsidRPr="00986F06">
              <w:t>General &amp; administration</w:t>
            </w:r>
          </w:p>
        </w:tc>
        <w:tc>
          <w:tcPr>
            <w:tcW w:w="3117" w:type="dxa"/>
          </w:tcPr>
          <w:p w14:paraId="1C79C7F4" w14:textId="2B78B56B" w:rsidR="005769A1" w:rsidRPr="00986F06" w:rsidRDefault="005769A1" w:rsidP="005769A1">
            <w:pPr>
              <w:spacing w:before="240"/>
              <w:ind w:left="280"/>
            </w:pPr>
            <w:r w:rsidRPr="004A7932">
              <w:t>$</w:t>
            </w:r>
            <w:r w:rsidR="00717B79" w:rsidRPr="00986F06">
              <w:t>360,000</w:t>
            </w:r>
          </w:p>
        </w:tc>
        <w:tc>
          <w:tcPr>
            <w:tcW w:w="3117" w:type="dxa"/>
          </w:tcPr>
          <w:p w14:paraId="06F8921E" w14:textId="2CA1BFCC" w:rsidR="005769A1" w:rsidRPr="00986F06" w:rsidRDefault="005769A1" w:rsidP="005769A1">
            <w:pPr>
              <w:spacing w:before="240"/>
              <w:ind w:left="228"/>
            </w:pPr>
            <w:r w:rsidRPr="004A7932">
              <w:t>$</w:t>
            </w:r>
            <w:r w:rsidR="00717B79" w:rsidRPr="00986F06">
              <w:t>360,000</w:t>
            </w:r>
          </w:p>
        </w:tc>
      </w:tr>
      <w:tr w:rsidR="005769A1" w:rsidRPr="00986F06" w14:paraId="3B0FFE35" w14:textId="77777777" w:rsidTr="000F619B">
        <w:tc>
          <w:tcPr>
            <w:tcW w:w="3116" w:type="dxa"/>
          </w:tcPr>
          <w:p w14:paraId="0EF0F00A" w14:textId="4A5DDE96" w:rsidR="005769A1" w:rsidRPr="00986F06" w:rsidRDefault="005769A1" w:rsidP="005769A1">
            <w:pPr>
              <w:spacing w:before="240"/>
              <w:rPr>
                <w:b/>
                <w:bCs/>
              </w:rPr>
            </w:pPr>
            <w:r w:rsidRPr="00986F06">
              <w:rPr>
                <w:b/>
                <w:bCs/>
              </w:rPr>
              <w:t xml:space="preserve">Total: </w:t>
            </w:r>
          </w:p>
        </w:tc>
        <w:tc>
          <w:tcPr>
            <w:tcW w:w="3117" w:type="dxa"/>
          </w:tcPr>
          <w:p w14:paraId="4C35685A" w14:textId="4A5124E0" w:rsidR="005769A1" w:rsidRPr="00986F06" w:rsidRDefault="005769A1" w:rsidP="005769A1">
            <w:pPr>
              <w:spacing w:before="240"/>
              <w:ind w:left="280"/>
              <w:rPr>
                <w:b/>
                <w:bCs/>
              </w:rPr>
            </w:pPr>
            <w:r w:rsidRPr="004A7932">
              <w:rPr>
                <w:b/>
                <w:bCs/>
              </w:rPr>
              <w:t>$</w:t>
            </w:r>
            <w:r w:rsidR="00986F06" w:rsidRPr="004A7932">
              <w:rPr>
                <w:b/>
                <w:bCs/>
              </w:rPr>
              <w:t>1,273,000</w:t>
            </w:r>
          </w:p>
        </w:tc>
        <w:tc>
          <w:tcPr>
            <w:tcW w:w="3117" w:type="dxa"/>
          </w:tcPr>
          <w:p w14:paraId="37F131CB" w14:textId="116A2D05" w:rsidR="005769A1" w:rsidRPr="00986F06" w:rsidRDefault="005769A1" w:rsidP="005769A1">
            <w:pPr>
              <w:spacing w:before="240"/>
              <w:ind w:left="228"/>
              <w:rPr>
                <w:b/>
                <w:bCs/>
              </w:rPr>
            </w:pPr>
            <w:r w:rsidRPr="004A7932">
              <w:rPr>
                <w:b/>
                <w:bCs/>
              </w:rPr>
              <w:t>$</w:t>
            </w:r>
            <w:r w:rsidR="00986F06" w:rsidRPr="004A7932">
              <w:rPr>
                <w:b/>
                <w:bCs/>
              </w:rPr>
              <w:t>1,610,500</w:t>
            </w:r>
          </w:p>
        </w:tc>
      </w:tr>
    </w:tbl>
    <w:p w14:paraId="65D2749E" w14:textId="0FCC25E9" w:rsidR="001B4463" w:rsidRDefault="001B4463" w:rsidP="00C16AAA">
      <w:pPr>
        <w:spacing w:before="240" w:after="0" w:line="240" w:lineRule="auto"/>
        <w:jc w:val="both"/>
      </w:pPr>
      <w:r w:rsidRPr="00986F06">
        <w:t>The above noted allocation and anticipated timing represents the Company’s current intentions</w:t>
      </w:r>
      <w:r>
        <w:t xml:space="preserve"> with respect to its use of proceeds based on current knowledge, planning and expectations of management of the Company. Although the Company intends to expend the proceeds from the Offering as set forth above, there may be circumstances where, for sound business reasons, a reallocation of funds may be deemed prudent or necessary and may vary materially from that set forth above, as the amounts actually allocated and spent will depend on </w:t>
      </w:r>
      <w:proofErr w:type="gramStart"/>
      <w:r>
        <w:t>a number of</w:t>
      </w:r>
      <w:proofErr w:type="gramEnd"/>
      <w:r>
        <w:t xml:space="preserve"> factors, including the Company’s ability to execute on its business plan. </w:t>
      </w:r>
      <w:r w:rsidR="00122834">
        <w:t xml:space="preserve">In particular, and without limiting the generality of the foregoing, if the Company is successful in closing the contemplated concurrent “flow through” </w:t>
      </w:r>
      <w:r w:rsidR="00717B79">
        <w:t xml:space="preserve">unit </w:t>
      </w:r>
      <w:r w:rsidR="00122834">
        <w:t>offering, then the gross proceeds from the issue and sale of such “flow through”</w:t>
      </w:r>
      <w:r w:rsidR="00717B79">
        <w:t xml:space="preserve"> units</w:t>
      </w:r>
      <w:r w:rsidR="00122834">
        <w:t xml:space="preserve"> will be applied toward the Company’s exploration programs on its properties, which would decrease the amount allocated for further exploration from the proceeds raised under this Offering.</w:t>
      </w:r>
    </w:p>
    <w:p w14:paraId="6A9AE42C" w14:textId="45EB2842" w:rsidR="00782AF7" w:rsidRDefault="001B4463" w:rsidP="00C16AAA">
      <w:pPr>
        <w:spacing w:before="240" w:after="0" w:line="240" w:lineRule="auto"/>
        <w:jc w:val="both"/>
      </w:pPr>
      <w:r w:rsidRPr="00F245ED">
        <w:t xml:space="preserve">The most recent audited annual financial statements and interim financial report of the Company included a going-concern note. The Company is still in the exploration stage and the Company has not yet generated positive cash flows from its operating activities, which may cast doubt on the Company’s ability to continue as a going concern. The Offering is intended to permit the Company to continue to explore its properties and conduct additional drilling with the goal of updating mineral resource </w:t>
      </w:r>
      <w:proofErr w:type="gramStart"/>
      <w:r w:rsidRPr="00F245ED">
        <w:t>estimates, and</w:t>
      </w:r>
      <w:proofErr w:type="gramEnd"/>
      <w:r w:rsidRPr="00F245ED">
        <w:t xml:space="preserve"> is not expected to affect the decision to include a going concern note in the next annual financial statements of the Company.</w:t>
      </w:r>
    </w:p>
    <w:p w14:paraId="37563E66" w14:textId="5D00035B" w:rsidR="002D41A4" w:rsidRPr="002D41A4" w:rsidRDefault="002D41A4" w:rsidP="00C16AAA">
      <w:pPr>
        <w:keepNext/>
        <w:spacing w:before="240" w:after="0" w:line="240" w:lineRule="auto"/>
        <w:jc w:val="both"/>
        <w:rPr>
          <w:b/>
          <w:bCs/>
        </w:rPr>
      </w:pPr>
      <w:r w:rsidRPr="002D41A4">
        <w:rPr>
          <w:b/>
          <w:bCs/>
        </w:rPr>
        <w:lastRenderedPageBreak/>
        <w:t>Use of Funds from Previous Financings</w:t>
      </w:r>
    </w:p>
    <w:p w14:paraId="648DA761" w14:textId="6D48B9AB" w:rsidR="002D41A4" w:rsidRPr="002D41A4" w:rsidRDefault="002D41A4" w:rsidP="00C16AAA">
      <w:pPr>
        <w:keepNext/>
        <w:spacing w:before="240" w:after="0" w:line="240" w:lineRule="auto"/>
        <w:jc w:val="both"/>
        <w:rPr>
          <w:b/>
          <w:bCs/>
        </w:rPr>
      </w:pPr>
      <w:r w:rsidRPr="002D41A4">
        <w:rPr>
          <w:b/>
          <w:bCs/>
        </w:rPr>
        <w:t>How have we used the other funds we have raised in the past 12 months?</w:t>
      </w:r>
    </w:p>
    <w:p w14:paraId="012C7C36" w14:textId="22A5DD2A" w:rsidR="00782AF7" w:rsidRDefault="00782AF7" w:rsidP="00255E7A">
      <w:pPr>
        <w:keepNext/>
        <w:spacing w:after="0" w:line="240" w:lineRule="auto"/>
        <w:jc w:val="both"/>
      </w:pPr>
    </w:p>
    <w:tbl>
      <w:tblPr>
        <w:tblStyle w:val="TableGrid"/>
        <w:tblW w:w="0" w:type="auto"/>
        <w:tblLook w:val="04A0" w:firstRow="1" w:lastRow="0" w:firstColumn="1" w:lastColumn="0" w:noHBand="0" w:noVBand="1"/>
      </w:tblPr>
      <w:tblGrid>
        <w:gridCol w:w="2337"/>
        <w:gridCol w:w="2337"/>
        <w:gridCol w:w="2338"/>
        <w:gridCol w:w="2338"/>
      </w:tblGrid>
      <w:tr w:rsidR="00C806D7" w:rsidRPr="00C806D7" w14:paraId="6B1477E1" w14:textId="77777777" w:rsidTr="00865BDE">
        <w:tc>
          <w:tcPr>
            <w:tcW w:w="2337" w:type="dxa"/>
            <w:vAlign w:val="bottom"/>
          </w:tcPr>
          <w:p w14:paraId="4C1F1A45" w14:textId="77777777" w:rsidR="00C806D7" w:rsidRPr="00C806D7" w:rsidRDefault="00C806D7" w:rsidP="00255E7A">
            <w:pPr>
              <w:keepNext/>
              <w:spacing w:before="240" w:after="120"/>
              <w:jc w:val="center"/>
              <w:rPr>
                <w:b/>
                <w:bCs/>
              </w:rPr>
            </w:pPr>
            <w:r w:rsidRPr="00C806D7">
              <w:rPr>
                <w:b/>
                <w:bCs/>
              </w:rPr>
              <w:t>Date of Financing and Funds Raised</w:t>
            </w:r>
          </w:p>
        </w:tc>
        <w:tc>
          <w:tcPr>
            <w:tcW w:w="2337" w:type="dxa"/>
            <w:tcBorders>
              <w:bottom w:val="single" w:sz="4" w:space="0" w:color="auto"/>
            </w:tcBorders>
            <w:vAlign w:val="bottom"/>
          </w:tcPr>
          <w:p w14:paraId="603F9C29" w14:textId="77777777" w:rsidR="00C806D7" w:rsidRPr="00C806D7" w:rsidRDefault="00C806D7" w:rsidP="00255E7A">
            <w:pPr>
              <w:keepNext/>
              <w:spacing w:before="240" w:after="120"/>
              <w:jc w:val="center"/>
              <w:rPr>
                <w:b/>
                <w:bCs/>
              </w:rPr>
            </w:pPr>
            <w:r w:rsidRPr="00C806D7">
              <w:rPr>
                <w:b/>
                <w:bCs/>
              </w:rPr>
              <w:t>Intent of Use of Funds</w:t>
            </w:r>
          </w:p>
        </w:tc>
        <w:tc>
          <w:tcPr>
            <w:tcW w:w="2338" w:type="dxa"/>
            <w:tcBorders>
              <w:bottom w:val="single" w:sz="4" w:space="0" w:color="auto"/>
            </w:tcBorders>
            <w:vAlign w:val="bottom"/>
          </w:tcPr>
          <w:p w14:paraId="0356BB99" w14:textId="77777777" w:rsidR="00C806D7" w:rsidRPr="00C806D7" w:rsidRDefault="00C806D7" w:rsidP="00255E7A">
            <w:pPr>
              <w:keepNext/>
              <w:spacing w:before="240" w:after="120"/>
              <w:jc w:val="center"/>
              <w:rPr>
                <w:b/>
                <w:bCs/>
              </w:rPr>
            </w:pPr>
            <w:r w:rsidRPr="00C806D7">
              <w:rPr>
                <w:b/>
                <w:bCs/>
              </w:rPr>
              <w:t>Explanation of Variances</w:t>
            </w:r>
          </w:p>
        </w:tc>
        <w:tc>
          <w:tcPr>
            <w:tcW w:w="2338" w:type="dxa"/>
            <w:tcBorders>
              <w:bottom w:val="single" w:sz="4" w:space="0" w:color="auto"/>
            </w:tcBorders>
            <w:vAlign w:val="bottom"/>
          </w:tcPr>
          <w:p w14:paraId="316782DF" w14:textId="03A5C2E0" w:rsidR="00C806D7" w:rsidRPr="00C806D7" w:rsidRDefault="00C806D7" w:rsidP="00255E7A">
            <w:pPr>
              <w:keepNext/>
              <w:spacing w:before="240" w:after="120"/>
              <w:jc w:val="center"/>
              <w:rPr>
                <w:b/>
                <w:bCs/>
              </w:rPr>
            </w:pPr>
            <w:r w:rsidRPr="00C806D7">
              <w:rPr>
                <w:b/>
                <w:bCs/>
              </w:rPr>
              <w:t>Impact of Variances on Business Objectives and milestones</w:t>
            </w:r>
          </w:p>
        </w:tc>
      </w:tr>
      <w:tr w:rsidR="00865BDE" w:rsidRPr="00C806D7" w14:paraId="7AC2750E" w14:textId="77777777" w:rsidTr="00865BDE">
        <w:trPr>
          <w:trHeight w:val="889"/>
        </w:trPr>
        <w:tc>
          <w:tcPr>
            <w:tcW w:w="2337" w:type="dxa"/>
            <w:vMerge w:val="restart"/>
          </w:tcPr>
          <w:p w14:paraId="3215C07C" w14:textId="214DD56B" w:rsidR="00865BDE" w:rsidRPr="00C806D7" w:rsidRDefault="00C16AAA" w:rsidP="00C16AAA">
            <w:pPr>
              <w:spacing w:before="240"/>
            </w:pPr>
            <w:r>
              <w:t>December 21, 2021</w:t>
            </w:r>
            <w:r>
              <w:br/>
            </w:r>
            <w:r w:rsidR="00865BDE">
              <w:t>Raising gross proceeds of $</w:t>
            </w:r>
            <w:r>
              <w:t>1,895</w:t>
            </w:r>
            <w:r w:rsidR="005B03D3">
              <w:t>,</w:t>
            </w:r>
            <w:r>
              <w:t>5</w:t>
            </w:r>
            <w:r w:rsidR="005B03D3">
              <w:t>00</w:t>
            </w:r>
          </w:p>
        </w:tc>
        <w:tc>
          <w:tcPr>
            <w:tcW w:w="2337" w:type="dxa"/>
            <w:tcBorders>
              <w:bottom w:val="nil"/>
            </w:tcBorders>
          </w:tcPr>
          <w:p w14:paraId="078619D6" w14:textId="314DE52B" w:rsidR="00865BDE" w:rsidRPr="00C806D7" w:rsidRDefault="00865BDE" w:rsidP="00C16AAA">
            <w:pPr>
              <w:spacing w:before="240"/>
            </w:pPr>
            <w:r>
              <w:t>$</w:t>
            </w:r>
            <w:r w:rsidR="00986F06">
              <w:t>990,000</w:t>
            </w:r>
            <w:r>
              <w:t xml:space="preserve"> - general </w:t>
            </w:r>
            <w:r w:rsidR="00717B79">
              <w:t xml:space="preserve">and </w:t>
            </w:r>
            <w:r w:rsidR="006E6BF8">
              <w:t>administration costs (professional fees, premise rent, investor relations costs, regulatory fees)</w:t>
            </w:r>
          </w:p>
        </w:tc>
        <w:tc>
          <w:tcPr>
            <w:tcW w:w="2338" w:type="dxa"/>
            <w:tcBorders>
              <w:bottom w:val="nil"/>
            </w:tcBorders>
          </w:tcPr>
          <w:p w14:paraId="3E99D07A" w14:textId="145D7FFC" w:rsidR="00865BDE" w:rsidRPr="00C806D7" w:rsidRDefault="009556D0" w:rsidP="00C16AAA">
            <w:pPr>
              <w:spacing w:before="240"/>
            </w:pPr>
            <w:r>
              <w:t>$</w:t>
            </w:r>
            <w:r w:rsidR="00986F06">
              <w:t>330,000</w:t>
            </w:r>
            <w:r>
              <w:t xml:space="preserve"> used for</w:t>
            </w:r>
            <w:r w:rsidR="006E6BF8">
              <w:t xml:space="preserve"> general and administration costs</w:t>
            </w:r>
            <w:r w:rsidR="00986F06">
              <w:t xml:space="preserve"> as costs were lower than expected.</w:t>
            </w:r>
          </w:p>
        </w:tc>
        <w:tc>
          <w:tcPr>
            <w:tcW w:w="2338" w:type="dxa"/>
            <w:tcBorders>
              <w:bottom w:val="nil"/>
            </w:tcBorders>
          </w:tcPr>
          <w:p w14:paraId="2DDFB8D4" w14:textId="6203A675" w:rsidR="00865BDE" w:rsidRPr="00C806D7" w:rsidRDefault="00986F06" w:rsidP="00C16AAA">
            <w:pPr>
              <w:spacing w:before="240"/>
            </w:pPr>
            <w:r w:rsidRPr="00FA484C">
              <w:t>None</w:t>
            </w:r>
          </w:p>
        </w:tc>
      </w:tr>
      <w:tr w:rsidR="00865BDE" w:rsidRPr="00C806D7" w14:paraId="61ED8B1D" w14:textId="77777777" w:rsidTr="00865BDE">
        <w:trPr>
          <w:trHeight w:val="932"/>
        </w:trPr>
        <w:tc>
          <w:tcPr>
            <w:tcW w:w="2337" w:type="dxa"/>
            <w:vMerge/>
          </w:tcPr>
          <w:p w14:paraId="560A6522" w14:textId="77777777" w:rsidR="00865BDE" w:rsidRDefault="00865BDE" w:rsidP="00C16AAA">
            <w:pPr>
              <w:spacing w:before="240"/>
            </w:pPr>
          </w:p>
        </w:tc>
        <w:tc>
          <w:tcPr>
            <w:tcW w:w="2337" w:type="dxa"/>
            <w:tcBorders>
              <w:top w:val="nil"/>
            </w:tcBorders>
          </w:tcPr>
          <w:p w14:paraId="67D6B7B8" w14:textId="4115D462" w:rsidR="00865BDE" w:rsidRDefault="00865BDE" w:rsidP="00C16AAA">
            <w:pPr>
              <w:spacing w:before="240"/>
            </w:pPr>
            <w:r>
              <w:t>$</w:t>
            </w:r>
            <w:r w:rsidR="00986F06">
              <w:t>905,500</w:t>
            </w:r>
            <w:r>
              <w:t xml:space="preserve"> - exploration work on properties</w:t>
            </w:r>
          </w:p>
        </w:tc>
        <w:tc>
          <w:tcPr>
            <w:tcW w:w="2338" w:type="dxa"/>
            <w:tcBorders>
              <w:top w:val="nil"/>
            </w:tcBorders>
          </w:tcPr>
          <w:p w14:paraId="6608E60C" w14:textId="77777777" w:rsidR="00865BDE" w:rsidRDefault="009556D0" w:rsidP="00C16AAA">
            <w:pPr>
              <w:spacing w:before="240"/>
            </w:pPr>
            <w:r>
              <w:t>$</w:t>
            </w:r>
            <w:r w:rsidR="00986F06">
              <w:t>950,000</w:t>
            </w:r>
            <w:r>
              <w:t xml:space="preserve"> used for exploration work on properties</w:t>
            </w:r>
            <w:r w:rsidR="00986F06">
              <w:t>.</w:t>
            </w:r>
          </w:p>
          <w:p w14:paraId="3352FD0A" w14:textId="59928BC5" w:rsidR="00FA484C" w:rsidRPr="00C806D7" w:rsidRDefault="00FA484C" w:rsidP="00C16AAA">
            <w:pPr>
              <w:spacing w:before="240"/>
            </w:pPr>
          </w:p>
        </w:tc>
        <w:tc>
          <w:tcPr>
            <w:tcW w:w="2338" w:type="dxa"/>
            <w:tcBorders>
              <w:top w:val="nil"/>
            </w:tcBorders>
          </w:tcPr>
          <w:p w14:paraId="11C23164" w14:textId="6F01EF60" w:rsidR="00865BDE" w:rsidRPr="00C806D7" w:rsidRDefault="00986F06" w:rsidP="00C16AAA">
            <w:pPr>
              <w:spacing w:before="240"/>
            </w:pPr>
            <w:r w:rsidRPr="00FA484C">
              <w:t>None</w:t>
            </w:r>
          </w:p>
        </w:tc>
      </w:tr>
    </w:tbl>
    <w:p w14:paraId="5E8CE180" w14:textId="1A07CDE8" w:rsidR="002D41A4" w:rsidRDefault="002D41A4" w:rsidP="00C16AAA">
      <w:pPr>
        <w:spacing w:before="240" w:after="0" w:line="240" w:lineRule="auto"/>
        <w:jc w:val="both"/>
      </w:pPr>
    </w:p>
    <w:p w14:paraId="38730FA1" w14:textId="0083DEB3" w:rsidR="002D41A4" w:rsidRPr="002D41A4" w:rsidRDefault="002D41A4" w:rsidP="00C16AAA">
      <w:pPr>
        <w:keepNext/>
        <w:spacing w:before="240" w:after="0" w:line="240" w:lineRule="auto"/>
        <w:jc w:val="center"/>
        <w:rPr>
          <w:b/>
          <w:bCs/>
        </w:rPr>
      </w:pPr>
      <w:r w:rsidRPr="002D41A4">
        <w:rPr>
          <w:b/>
          <w:bCs/>
        </w:rPr>
        <w:t>FEES AND COMMISSIONS</w:t>
      </w:r>
    </w:p>
    <w:p w14:paraId="5E032A07" w14:textId="5C890D52" w:rsidR="002D41A4" w:rsidRPr="002D41A4" w:rsidRDefault="002D41A4" w:rsidP="00C16AAA">
      <w:pPr>
        <w:keepNext/>
        <w:spacing w:before="240" w:after="0" w:line="240" w:lineRule="auto"/>
        <w:jc w:val="both"/>
        <w:rPr>
          <w:b/>
          <w:bCs/>
        </w:rPr>
      </w:pPr>
      <w:r w:rsidRPr="002D41A4">
        <w:rPr>
          <w:b/>
          <w:bCs/>
        </w:rPr>
        <w:t>Involvement of dealers or finders and their fees</w:t>
      </w:r>
    </w:p>
    <w:p w14:paraId="0059203C" w14:textId="50EA6F94" w:rsidR="002D41A4" w:rsidRPr="002D41A4" w:rsidRDefault="002D41A4" w:rsidP="00C16AAA">
      <w:pPr>
        <w:keepNext/>
        <w:spacing w:before="240" w:after="0" w:line="240" w:lineRule="auto"/>
        <w:jc w:val="both"/>
        <w:rPr>
          <w:b/>
          <w:bCs/>
        </w:rPr>
      </w:pPr>
      <w:r w:rsidRPr="002D41A4">
        <w:rPr>
          <w:b/>
          <w:bCs/>
        </w:rPr>
        <w:t>Who are the dealers or finders that we have engaged in connection with this offering, if any, and what are their fees?</w:t>
      </w:r>
    </w:p>
    <w:p w14:paraId="11E14297" w14:textId="44EE1F87" w:rsidR="00717B79" w:rsidRDefault="00122834" w:rsidP="00C16AAA">
      <w:pPr>
        <w:keepNext/>
        <w:spacing w:before="240" w:after="0" w:line="240" w:lineRule="auto"/>
        <w:jc w:val="both"/>
      </w:pPr>
      <w:r>
        <w:t xml:space="preserve">The Company has engaged EMD Financial Inc., a registered exempt market dealer, to assist with the Offering. </w:t>
      </w:r>
      <w:r w:rsidR="00717B79">
        <w:t>T</w:t>
      </w:r>
      <w:r w:rsidR="00717B79" w:rsidRPr="00717B79">
        <w:t>he Company will pay finder’s fees and issue finder warrants to EMD Financial Inc. well as any other registrants participating in the Offering, consisting of: (</w:t>
      </w:r>
      <w:proofErr w:type="spellStart"/>
      <w:r w:rsidR="00717B79" w:rsidRPr="00717B79">
        <w:t>i</w:t>
      </w:r>
      <w:proofErr w:type="spellEnd"/>
      <w:r w:rsidR="00717B79" w:rsidRPr="00717B79">
        <w:t xml:space="preserve">) cash finder's fees of up to 10 % of the gross proceeds of the Offering; (ii) finder shares in an amount to up to 5% of the number of </w:t>
      </w:r>
      <w:r w:rsidR="00717B79">
        <w:t>U</w:t>
      </w:r>
      <w:r w:rsidR="00717B79" w:rsidRPr="00717B79">
        <w:t>nits issued pursuant to the Offering; and (iii) finder warrants in an amount equal to up to 5% of the number of Units issued pursuant to the Offering, exercisable at a price of $0.075 per common share for a period of two years following the closing date</w:t>
      </w:r>
      <w:r w:rsidR="00717B79">
        <w:t xml:space="preserve"> of the Offering</w:t>
      </w:r>
      <w:r w:rsidR="00717B79" w:rsidRPr="00717B79">
        <w:t>.</w:t>
      </w:r>
    </w:p>
    <w:p w14:paraId="1DCD111D" w14:textId="25B5928E" w:rsidR="002D41A4" w:rsidRPr="002D41A4" w:rsidRDefault="002D41A4" w:rsidP="00C16AAA">
      <w:pPr>
        <w:keepNext/>
        <w:spacing w:before="240" w:after="0" w:line="240" w:lineRule="auto"/>
        <w:jc w:val="both"/>
        <w:rPr>
          <w:b/>
          <w:bCs/>
        </w:rPr>
      </w:pPr>
      <w:r w:rsidRPr="002D41A4">
        <w:rPr>
          <w:b/>
          <w:bCs/>
        </w:rPr>
        <w:t>Dealer Conflicts</w:t>
      </w:r>
    </w:p>
    <w:p w14:paraId="1E794AE4" w14:textId="183D9992" w:rsidR="002D41A4" w:rsidRPr="002D41A4" w:rsidRDefault="002D41A4" w:rsidP="00C16AAA">
      <w:pPr>
        <w:keepNext/>
        <w:spacing w:before="240" w:after="0" w:line="240" w:lineRule="auto"/>
        <w:jc w:val="both"/>
        <w:rPr>
          <w:b/>
          <w:bCs/>
        </w:rPr>
      </w:pPr>
      <w:r w:rsidRPr="00BF3179">
        <w:rPr>
          <w:b/>
          <w:bCs/>
        </w:rPr>
        <w:t>Do</w:t>
      </w:r>
      <w:r w:rsidR="00BF3179" w:rsidRPr="00BF3179">
        <w:rPr>
          <w:b/>
          <w:bCs/>
        </w:rPr>
        <w:t>(</w:t>
      </w:r>
      <w:r w:rsidRPr="00BF3179">
        <w:rPr>
          <w:b/>
          <w:bCs/>
        </w:rPr>
        <w:t>es</w:t>
      </w:r>
      <w:r w:rsidR="00BF3179" w:rsidRPr="00BF3179">
        <w:rPr>
          <w:b/>
          <w:bCs/>
        </w:rPr>
        <w:t xml:space="preserve">) the </w:t>
      </w:r>
      <w:r w:rsidRPr="00BF3179">
        <w:rPr>
          <w:b/>
          <w:bCs/>
        </w:rPr>
        <w:t>dealer(s) have a conflict of interest?</w:t>
      </w:r>
      <w:r w:rsidR="0095755F" w:rsidRPr="00BF3179">
        <w:t xml:space="preserve"> </w:t>
      </w:r>
    </w:p>
    <w:p w14:paraId="22BC82B5" w14:textId="6E1A1F14" w:rsidR="002D41A4" w:rsidRDefault="00887641" w:rsidP="00C16AAA">
      <w:pPr>
        <w:spacing w:before="240" w:after="0" w:line="240" w:lineRule="auto"/>
        <w:jc w:val="both"/>
      </w:pPr>
      <w:r w:rsidRPr="0058025E">
        <w:t xml:space="preserve">To the knowledge of the Company, it is not a “related issuer” or “connected issuer” of or to the </w:t>
      </w:r>
      <w:r w:rsidR="00EC3F1F">
        <w:t>dealer</w:t>
      </w:r>
      <w:r w:rsidRPr="0058025E">
        <w:t>, as such terms are defined in National Instrument 33-105 – Underwriting Conflicts.</w:t>
      </w:r>
    </w:p>
    <w:p w14:paraId="29D1D668" w14:textId="3A4CC555" w:rsidR="002D41A4" w:rsidRPr="00655F73" w:rsidRDefault="002D41A4" w:rsidP="004D78AC">
      <w:pPr>
        <w:keepNext/>
        <w:spacing w:before="240" w:after="0" w:line="240" w:lineRule="auto"/>
        <w:jc w:val="center"/>
        <w:rPr>
          <w:b/>
          <w:bCs/>
        </w:rPr>
      </w:pPr>
      <w:r w:rsidRPr="00655F73">
        <w:rPr>
          <w:b/>
          <w:bCs/>
        </w:rPr>
        <w:lastRenderedPageBreak/>
        <w:t>PURCHASERS’ RIGHTS</w:t>
      </w:r>
    </w:p>
    <w:p w14:paraId="17086611" w14:textId="1AFEF8C6" w:rsidR="002D41A4" w:rsidRPr="002D41A4" w:rsidRDefault="002D41A4" w:rsidP="004D78AC">
      <w:pPr>
        <w:keepNext/>
        <w:spacing w:before="240" w:after="0" w:line="240" w:lineRule="auto"/>
        <w:jc w:val="both"/>
        <w:rPr>
          <w:b/>
          <w:bCs/>
        </w:rPr>
      </w:pPr>
      <w:r w:rsidRPr="002D41A4">
        <w:rPr>
          <w:b/>
          <w:bCs/>
        </w:rPr>
        <w:t>Purchasers’ rights</w:t>
      </w:r>
    </w:p>
    <w:p w14:paraId="17D2BB9E" w14:textId="26C25043" w:rsidR="002D41A4" w:rsidRPr="002D41A4" w:rsidRDefault="002D41A4" w:rsidP="004D78AC">
      <w:pPr>
        <w:keepNext/>
        <w:spacing w:before="240" w:after="0" w:line="240" w:lineRule="auto"/>
        <w:jc w:val="both"/>
        <w:rPr>
          <w:b/>
          <w:bCs/>
        </w:rPr>
      </w:pPr>
      <w:r w:rsidRPr="002D41A4">
        <w:rPr>
          <w:b/>
          <w:bCs/>
        </w:rPr>
        <w:t>Rights of Action in the Event of a Misrepresentation</w:t>
      </w:r>
    </w:p>
    <w:p w14:paraId="48313FF8" w14:textId="77777777" w:rsidR="002D41A4" w:rsidRPr="002D41A4" w:rsidRDefault="002D41A4" w:rsidP="00C16AAA">
      <w:pPr>
        <w:spacing w:before="240" w:after="0" w:line="240" w:lineRule="auto"/>
        <w:jc w:val="both"/>
        <w:rPr>
          <w:b/>
          <w:bCs/>
        </w:rPr>
      </w:pPr>
      <w:r w:rsidRPr="002D41A4">
        <w:rPr>
          <w:b/>
          <w:bCs/>
        </w:rPr>
        <w:t>If there is a misrepresentation in this offering document, you have a right</w:t>
      </w:r>
    </w:p>
    <w:p w14:paraId="768E825F" w14:textId="062C6B1E" w:rsidR="002D41A4" w:rsidRPr="002D41A4" w:rsidRDefault="002D41A4" w:rsidP="00C16AAA">
      <w:pPr>
        <w:pStyle w:val="ListParagraph"/>
        <w:numPr>
          <w:ilvl w:val="0"/>
          <w:numId w:val="3"/>
        </w:numPr>
        <w:spacing w:before="240" w:after="0" w:line="240" w:lineRule="auto"/>
        <w:ind w:left="1440" w:hanging="720"/>
        <w:jc w:val="both"/>
        <w:rPr>
          <w:b/>
          <w:bCs/>
        </w:rPr>
      </w:pPr>
      <w:r w:rsidRPr="002D41A4">
        <w:rPr>
          <w:b/>
          <w:bCs/>
        </w:rPr>
        <w:t xml:space="preserve">to rescind your purchase of these securities with the </w:t>
      </w:r>
      <w:r w:rsidR="00A5523B">
        <w:rPr>
          <w:b/>
          <w:bCs/>
        </w:rPr>
        <w:t>Company</w:t>
      </w:r>
      <w:r w:rsidRPr="002D41A4">
        <w:rPr>
          <w:b/>
          <w:bCs/>
        </w:rPr>
        <w:t xml:space="preserve">, or </w:t>
      </w:r>
    </w:p>
    <w:p w14:paraId="4712B067" w14:textId="3C41A9A2" w:rsidR="002D41A4" w:rsidRPr="002D41A4" w:rsidRDefault="002D41A4" w:rsidP="00C16AAA">
      <w:pPr>
        <w:pStyle w:val="ListParagraph"/>
        <w:numPr>
          <w:ilvl w:val="0"/>
          <w:numId w:val="3"/>
        </w:numPr>
        <w:spacing w:before="240" w:after="0" w:line="240" w:lineRule="auto"/>
        <w:ind w:left="1440" w:hanging="720"/>
        <w:jc w:val="both"/>
        <w:rPr>
          <w:b/>
          <w:bCs/>
        </w:rPr>
      </w:pPr>
      <w:r w:rsidRPr="002D41A4">
        <w:rPr>
          <w:b/>
          <w:bCs/>
        </w:rPr>
        <w:t xml:space="preserve">to damages against the </w:t>
      </w:r>
      <w:r w:rsidR="00A5523B">
        <w:rPr>
          <w:b/>
          <w:bCs/>
        </w:rPr>
        <w:t>Company</w:t>
      </w:r>
      <w:r w:rsidRPr="002D41A4">
        <w:rPr>
          <w:b/>
          <w:bCs/>
        </w:rPr>
        <w:t xml:space="preserve"> and may, in certain jurisdictions, have a statutory right to damages from other persons. </w:t>
      </w:r>
    </w:p>
    <w:p w14:paraId="10650F70" w14:textId="77777777" w:rsidR="002D41A4" w:rsidRPr="002D41A4" w:rsidRDefault="002D41A4" w:rsidP="00C16AAA">
      <w:pPr>
        <w:spacing w:before="240" w:after="0" w:line="240" w:lineRule="auto"/>
        <w:jc w:val="both"/>
        <w:rPr>
          <w:b/>
          <w:bCs/>
        </w:rPr>
      </w:pPr>
      <w:r w:rsidRPr="002D41A4">
        <w:rPr>
          <w:b/>
          <w:bCs/>
        </w:rPr>
        <w:t xml:space="preserve">These rights are available to you </w:t>
      </w:r>
      <w:proofErr w:type="gramStart"/>
      <w:r w:rsidRPr="002D41A4">
        <w:rPr>
          <w:b/>
          <w:bCs/>
        </w:rPr>
        <w:t>whether or not</w:t>
      </w:r>
      <w:proofErr w:type="gramEnd"/>
      <w:r w:rsidRPr="002D41A4">
        <w:rPr>
          <w:b/>
          <w:bCs/>
        </w:rPr>
        <w:t xml:space="preserve"> you relied on the misrepresentation. However, there are various circumstances that limit your rights. </w:t>
      </w:r>
      <w:proofErr w:type="gramStart"/>
      <w:r w:rsidRPr="002D41A4">
        <w:rPr>
          <w:b/>
          <w:bCs/>
        </w:rPr>
        <w:t>In particular, your</w:t>
      </w:r>
      <w:proofErr w:type="gramEnd"/>
      <w:r w:rsidRPr="002D41A4">
        <w:rPr>
          <w:b/>
          <w:bCs/>
        </w:rPr>
        <w:t xml:space="preserve"> rights might be limited if you knew of the misrepresentation when you purchased the securities. </w:t>
      </w:r>
    </w:p>
    <w:p w14:paraId="01665264" w14:textId="77777777" w:rsidR="002D41A4" w:rsidRPr="002D41A4" w:rsidRDefault="002D41A4" w:rsidP="00C16AAA">
      <w:pPr>
        <w:spacing w:before="240" w:after="0" w:line="240" w:lineRule="auto"/>
        <w:jc w:val="both"/>
        <w:rPr>
          <w:b/>
          <w:bCs/>
        </w:rPr>
      </w:pPr>
      <w:r w:rsidRPr="002D41A4">
        <w:rPr>
          <w:b/>
          <w:bCs/>
        </w:rPr>
        <w:t xml:space="preserve">If you intend to rely on the rights described in paragraph (a) or (b) above, you must do so within strict time limitations. </w:t>
      </w:r>
    </w:p>
    <w:p w14:paraId="2CC90287" w14:textId="4D737AED" w:rsidR="002D41A4" w:rsidRPr="002D41A4" w:rsidRDefault="002D41A4" w:rsidP="00C16AAA">
      <w:pPr>
        <w:spacing w:before="240" w:after="0" w:line="240" w:lineRule="auto"/>
        <w:jc w:val="both"/>
        <w:rPr>
          <w:b/>
          <w:bCs/>
        </w:rPr>
      </w:pPr>
      <w:r w:rsidRPr="002D41A4">
        <w:rPr>
          <w:b/>
          <w:bCs/>
        </w:rPr>
        <w:t>You should refer to any applicable provisions of the securities legislation of your province or territory for the particulars of these rights or consult with a legal adviser.</w:t>
      </w:r>
    </w:p>
    <w:p w14:paraId="6C32B463" w14:textId="396C7A98" w:rsidR="002D41A4" w:rsidRDefault="002D41A4" w:rsidP="00C16AAA">
      <w:pPr>
        <w:spacing w:before="240" w:after="0" w:line="240" w:lineRule="auto"/>
        <w:jc w:val="both"/>
      </w:pPr>
    </w:p>
    <w:p w14:paraId="11A7FEF9" w14:textId="3228C675" w:rsidR="002D41A4" w:rsidRPr="002D41A4" w:rsidRDefault="002D41A4" w:rsidP="00C16AAA">
      <w:pPr>
        <w:keepNext/>
        <w:spacing w:before="240" w:after="0" w:line="240" w:lineRule="auto"/>
        <w:jc w:val="center"/>
        <w:rPr>
          <w:b/>
          <w:bCs/>
        </w:rPr>
      </w:pPr>
      <w:r w:rsidRPr="002D41A4">
        <w:rPr>
          <w:b/>
          <w:bCs/>
        </w:rPr>
        <w:t>ADDITIONAL INFORMATION</w:t>
      </w:r>
    </w:p>
    <w:p w14:paraId="52113B44" w14:textId="7A83C0BE" w:rsidR="002D41A4" w:rsidRPr="002D41A4" w:rsidRDefault="002D41A4" w:rsidP="00C16AAA">
      <w:pPr>
        <w:keepNext/>
        <w:spacing w:before="240" w:after="0" w:line="240" w:lineRule="auto"/>
        <w:jc w:val="both"/>
        <w:rPr>
          <w:b/>
          <w:bCs/>
        </w:rPr>
      </w:pPr>
      <w:r w:rsidRPr="002D41A4">
        <w:rPr>
          <w:b/>
          <w:bCs/>
        </w:rPr>
        <w:t>Additional Information</w:t>
      </w:r>
    </w:p>
    <w:p w14:paraId="0C828A9E" w14:textId="3088C6A6" w:rsidR="002D41A4" w:rsidRPr="002D41A4" w:rsidRDefault="002D41A4" w:rsidP="00C16AAA">
      <w:pPr>
        <w:keepNext/>
        <w:spacing w:before="240" w:after="0" w:line="240" w:lineRule="auto"/>
        <w:jc w:val="both"/>
        <w:rPr>
          <w:b/>
          <w:bCs/>
        </w:rPr>
      </w:pPr>
      <w:r w:rsidRPr="002D41A4">
        <w:rPr>
          <w:b/>
          <w:bCs/>
        </w:rPr>
        <w:t>Where can you find more information about us</w:t>
      </w:r>
      <w:r>
        <w:rPr>
          <w:b/>
          <w:bCs/>
        </w:rPr>
        <w:t>?</w:t>
      </w:r>
    </w:p>
    <w:p w14:paraId="1B357956" w14:textId="370DCADA" w:rsidR="00A924FA" w:rsidRDefault="00E530D4" w:rsidP="00C16AAA">
      <w:pPr>
        <w:spacing w:before="240" w:after="0" w:line="240" w:lineRule="auto"/>
        <w:jc w:val="both"/>
      </w:pPr>
      <w:r>
        <w:t xml:space="preserve">Security holders can access the </w:t>
      </w:r>
      <w:r w:rsidR="00A5523B">
        <w:t>Company's</w:t>
      </w:r>
      <w:r>
        <w:t xml:space="preserve"> continuous disclosure at </w:t>
      </w:r>
      <w:hyperlink r:id="rId15" w:history="1">
        <w:r w:rsidRPr="00F96DA4">
          <w:rPr>
            <w:rStyle w:val="Hyperlink"/>
          </w:rPr>
          <w:t>www.sedar.com</w:t>
        </w:r>
      </w:hyperlink>
      <w:r>
        <w:t xml:space="preserve"> and on the </w:t>
      </w:r>
      <w:r w:rsidR="00A5523B">
        <w:t>Company's</w:t>
      </w:r>
      <w:r>
        <w:t xml:space="preserve"> website </w:t>
      </w:r>
      <w:hyperlink r:id="rId16" w:history="1">
        <w:r w:rsidR="00C16AAA" w:rsidRPr="00922ED3">
          <w:rPr>
            <w:rStyle w:val="Hyperlink"/>
          </w:rPr>
          <w:t>https://www.quebecsilica.com/</w:t>
        </w:r>
      </w:hyperlink>
      <w:r>
        <w:t>.</w:t>
      </w:r>
    </w:p>
    <w:p w14:paraId="1EFF997A" w14:textId="77777777" w:rsidR="00E530D4" w:rsidRDefault="00E530D4" w:rsidP="00C16AAA">
      <w:pPr>
        <w:spacing w:before="240" w:after="0" w:line="240" w:lineRule="auto"/>
        <w:jc w:val="both"/>
      </w:pPr>
    </w:p>
    <w:p w14:paraId="5012502B" w14:textId="77777777" w:rsidR="00CF1DC9" w:rsidRDefault="00CF1DC9" w:rsidP="00C16AAA">
      <w:pPr>
        <w:rPr>
          <w:b/>
          <w:bCs/>
        </w:rPr>
      </w:pPr>
      <w:r>
        <w:rPr>
          <w:b/>
          <w:bCs/>
        </w:rPr>
        <w:br w:type="page"/>
      </w:r>
    </w:p>
    <w:p w14:paraId="265030C0" w14:textId="652ED0EF" w:rsidR="002D41A4" w:rsidRPr="002D41A4" w:rsidRDefault="002D41A4" w:rsidP="00C16AAA">
      <w:pPr>
        <w:keepNext/>
        <w:spacing w:before="240" w:after="0" w:line="240" w:lineRule="auto"/>
        <w:jc w:val="center"/>
        <w:rPr>
          <w:b/>
          <w:bCs/>
        </w:rPr>
      </w:pPr>
      <w:r w:rsidRPr="002D41A4">
        <w:rPr>
          <w:b/>
          <w:bCs/>
        </w:rPr>
        <w:lastRenderedPageBreak/>
        <w:t>DATE AND CERTIFICATE</w:t>
      </w:r>
    </w:p>
    <w:p w14:paraId="6C34661D" w14:textId="6D332932" w:rsidR="002D41A4" w:rsidRPr="002D41A4" w:rsidRDefault="002D41A4" w:rsidP="00C16AAA">
      <w:pPr>
        <w:keepNext/>
        <w:spacing w:before="240" w:after="0" w:line="240" w:lineRule="auto"/>
        <w:rPr>
          <w:b/>
          <w:bCs/>
        </w:rPr>
      </w:pPr>
      <w:r w:rsidRPr="002D41A4">
        <w:rPr>
          <w:b/>
          <w:bCs/>
        </w:rPr>
        <w:t>Certificate</w:t>
      </w:r>
    </w:p>
    <w:p w14:paraId="3CD96D61" w14:textId="4F3AA0B1" w:rsidR="002D41A4" w:rsidRDefault="002D41A4" w:rsidP="00C16AAA">
      <w:pPr>
        <w:spacing w:before="240" w:after="0" w:line="240" w:lineRule="auto"/>
        <w:jc w:val="both"/>
      </w:pPr>
      <w:r>
        <w:t xml:space="preserve">This offering document, together with any document filed under Canadian securities legislation on or after </w:t>
      </w:r>
      <w:r w:rsidR="00C16AAA">
        <w:t xml:space="preserve">December </w:t>
      </w:r>
      <w:r w:rsidR="00717B79">
        <w:t>13</w:t>
      </w:r>
      <w:r w:rsidR="002C3B6F">
        <w:t>, 202</w:t>
      </w:r>
      <w:r w:rsidR="008839F9">
        <w:t>1</w:t>
      </w:r>
      <w:r>
        <w:t>, contains disclosure of all material facts about the securities being distributed and does not contain a misrepresentation.</w:t>
      </w:r>
    </w:p>
    <w:p w14:paraId="4E4A8AED" w14:textId="1CC08B1B" w:rsidR="002D41A4" w:rsidRDefault="002D41A4" w:rsidP="00C16AAA">
      <w:pPr>
        <w:spacing w:before="240" w:after="0" w:line="240" w:lineRule="auto"/>
      </w:pPr>
    </w:p>
    <w:p w14:paraId="24C772B9" w14:textId="45852BAD" w:rsidR="002D41A4" w:rsidRDefault="00BD17DC" w:rsidP="00C16AAA">
      <w:pPr>
        <w:keepNext/>
        <w:spacing w:before="240" w:after="0" w:line="240" w:lineRule="auto"/>
      </w:pPr>
      <w:r>
        <w:t xml:space="preserve">Dated:  </w:t>
      </w:r>
      <w:r w:rsidR="00C16AAA">
        <w:t xml:space="preserve">December </w:t>
      </w:r>
      <w:r w:rsidR="00717B79">
        <w:t>13</w:t>
      </w:r>
      <w:r w:rsidR="00C16AAA">
        <w:t>,</w:t>
      </w:r>
      <w:r w:rsidR="00A5523B" w:rsidRPr="00A5523B">
        <w:t xml:space="preserve"> 2022</w:t>
      </w:r>
    </w:p>
    <w:p w14:paraId="7852ADC2" w14:textId="77777777" w:rsidR="00A5523B" w:rsidRDefault="00A5523B" w:rsidP="00C16AAA">
      <w:pPr>
        <w:keepNext/>
        <w:spacing w:before="240" w:after="0" w:line="240" w:lineRule="auto"/>
        <w:rPr>
          <w:b/>
          <w:bCs/>
        </w:rPr>
      </w:pPr>
    </w:p>
    <w:p w14:paraId="1E371D06" w14:textId="77777777" w:rsidR="00A5523B" w:rsidRDefault="00A5523B" w:rsidP="00C16AAA">
      <w:pPr>
        <w:keepNext/>
        <w:spacing w:before="24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40"/>
        <w:gridCol w:w="3500"/>
      </w:tblGrid>
      <w:tr w:rsidR="00BD17DC" w14:paraId="04238489" w14:textId="77777777" w:rsidTr="00BD17DC">
        <w:tc>
          <w:tcPr>
            <w:tcW w:w="3510" w:type="dxa"/>
            <w:tcBorders>
              <w:bottom w:val="single" w:sz="4" w:space="0" w:color="auto"/>
            </w:tcBorders>
          </w:tcPr>
          <w:p w14:paraId="1A17AA3F" w14:textId="32C3F472" w:rsidR="00BD17DC" w:rsidRPr="00717B79" w:rsidRDefault="00AF70C4" w:rsidP="00C16AAA">
            <w:pPr>
              <w:keepNext/>
              <w:spacing w:before="240"/>
              <w:rPr>
                <w:i/>
                <w:iCs/>
              </w:rPr>
            </w:pPr>
            <w:r w:rsidRPr="00717B79">
              <w:rPr>
                <w:i/>
                <w:iCs/>
              </w:rPr>
              <w:t>“</w:t>
            </w:r>
            <w:r w:rsidR="00C16AAA" w:rsidRPr="00717B79">
              <w:rPr>
                <w:i/>
                <w:iCs/>
              </w:rPr>
              <w:t>Raymond Wladichuk</w:t>
            </w:r>
            <w:r w:rsidRPr="00717B79">
              <w:rPr>
                <w:i/>
                <w:iCs/>
              </w:rPr>
              <w:t>”</w:t>
            </w:r>
          </w:p>
        </w:tc>
        <w:tc>
          <w:tcPr>
            <w:tcW w:w="2340" w:type="dxa"/>
          </w:tcPr>
          <w:p w14:paraId="18EAFC8B" w14:textId="77777777" w:rsidR="00BD17DC" w:rsidRDefault="00BD17DC" w:rsidP="00C16AAA">
            <w:pPr>
              <w:keepNext/>
              <w:spacing w:before="240"/>
            </w:pPr>
          </w:p>
        </w:tc>
        <w:tc>
          <w:tcPr>
            <w:tcW w:w="3500" w:type="dxa"/>
            <w:tcBorders>
              <w:bottom w:val="single" w:sz="4" w:space="0" w:color="auto"/>
            </w:tcBorders>
          </w:tcPr>
          <w:p w14:paraId="09E7292E" w14:textId="71C6E24E" w:rsidR="00BD17DC" w:rsidRPr="00316116" w:rsidRDefault="00AF70C4" w:rsidP="00C16AAA">
            <w:pPr>
              <w:keepNext/>
              <w:spacing w:before="240"/>
              <w:rPr>
                <w:i/>
                <w:iCs/>
              </w:rPr>
            </w:pPr>
            <w:r w:rsidRPr="00316116">
              <w:rPr>
                <w:i/>
                <w:iCs/>
              </w:rPr>
              <w:t>“</w:t>
            </w:r>
            <w:r w:rsidR="00C16AAA" w:rsidRPr="00316116">
              <w:rPr>
                <w:i/>
                <w:iCs/>
              </w:rPr>
              <w:t>Elyssia Patterson</w:t>
            </w:r>
            <w:r w:rsidRPr="00316116">
              <w:rPr>
                <w:i/>
                <w:iCs/>
              </w:rPr>
              <w:t>”</w:t>
            </w:r>
          </w:p>
        </w:tc>
      </w:tr>
      <w:tr w:rsidR="00BD17DC" w:rsidRPr="00BD17DC" w14:paraId="103E450D" w14:textId="77777777" w:rsidTr="00BD17DC">
        <w:tc>
          <w:tcPr>
            <w:tcW w:w="3510" w:type="dxa"/>
            <w:tcBorders>
              <w:top w:val="single" w:sz="4" w:space="0" w:color="auto"/>
            </w:tcBorders>
          </w:tcPr>
          <w:p w14:paraId="61A01F6F" w14:textId="461E0A90" w:rsidR="00BD17DC" w:rsidRPr="00BD17DC" w:rsidRDefault="00C16AAA" w:rsidP="00C16AAA">
            <w:pPr>
              <w:rPr>
                <w:b/>
                <w:bCs/>
              </w:rPr>
            </w:pPr>
            <w:r>
              <w:rPr>
                <w:b/>
                <w:bCs/>
              </w:rPr>
              <w:t>RAYMOND WLADICHUK</w:t>
            </w:r>
          </w:p>
        </w:tc>
        <w:tc>
          <w:tcPr>
            <w:tcW w:w="2340" w:type="dxa"/>
          </w:tcPr>
          <w:p w14:paraId="56E2D0D8" w14:textId="77777777" w:rsidR="00BD17DC" w:rsidRPr="00BD17DC" w:rsidRDefault="00BD17DC" w:rsidP="00C16AAA">
            <w:pPr>
              <w:rPr>
                <w:b/>
                <w:bCs/>
              </w:rPr>
            </w:pPr>
          </w:p>
        </w:tc>
        <w:tc>
          <w:tcPr>
            <w:tcW w:w="3500" w:type="dxa"/>
            <w:tcBorders>
              <w:top w:val="single" w:sz="4" w:space="0" w:color="auto"/>
            </w:tcBorders>
          </w:tcPr>
          <w:p w14:paraId="5672E168" w14:textId="4F25427F" w:rsidR="00BD17DC" w:rsidRPr="00BD17DC" w:rsidRDefault="00C16AAA" w:rsidP="00C16AAA">
            <w:pPr>
              <w:rPr>
                <w:b/>
                <w:bCs/>
              </w:rPr>
            </w:pPr>
            <w:r>
              <w:rPr>
                <w:b/>
                <w:bCs/>
              </w:rPr>
              <w:t>ELYSSIA PATTERSON</w:t>
            </w:r>
          </w:p>
        </w:tc>
      </w:tr>
      <w:tr w:rsidR="00BD17DC" w:rsidRPr="00BD17DC" w14:paraId="3B451C75" w14:textId="77777777" w:rsidTr="00BD17DC">
        <w:tc>
          <w:tcPr>
            <w:tcW w:w="3510" w:type="dxa"/>
          </w:tcPr>
          <w:p w14:paraId="233CF7CD" w14:textId="17648A75" w:rsidR="00BD17DC" w:rsidRPr="00BD17DC" w:rsidRDefault="00BD17DC" w:rsidP="00C16AAA">
            <w:pPr>
              <w:rPr>
                <w:b/>
                <w:bCs/>
              </w:rPr>
            </w:pPr>
            <w:r w:rsidRPr="00BD17DC">
              <w:rPr>
                <w:b/>
                <w:bCs/>
              </w:rPr>
              <w:t>Chief Executive Officer</w:t>
            </w:r>
          </w:p>
        </w:tc>
        <w:tc>
          <w:tcPr>
            <w:tcW w:w="2340" w:type="dxa"/>
          </w:tcPr>
          <w:p w14:paraId="74FB3BB3" w14:textId="77777777" w:rsidR="00BD17DC" w:rsidRPr="00BD17DC" w:rsidRDefault="00BD17DC" w:rsidP="00C16AAA">
            <w:pPr>
              <w:rPr>
                <w:b/>
                <w:bCs/>
              </w:rPr>
            </w:pPr>
          </w:p>
        </w:tc>
        <w:tc>
          <w:tcPr>
            <w:tcW w:w="3500" w:type="dxa"/>
          </w:tcPr>
          <w:p w14:paraId="652E4620" w14:textId="42B9D36F" w:rsidR="00BD17DC" w:rsidRPr="00BD17DC" w:rsidRDefault="00BD17DC" w:rsidP="00C16AAA">
            <w:pPr>
              <w:rPr>
                <w:b/>
                <w:bCs/>
              </w:rPr>
            </w:pPr>
            <w:r w:rsidRPr="00BD17DC">
              <w:rPr>
                <w:b/>
                <w:bCs/>
              </w:rPr>
              <w:t>Chief Financial Officer</w:t>
            </w:r>
          </w:p>
        </w:tc>
      </w:tr>
    </w:tbl>
    <w:p w14:paraId="015D3B9E" w14:textId="7EB33AF0" w:rsidR="00BD17DC" w:rsidRDefault="00BD17DC" w:rsidP="00C16AAA">
      <w:pPr>
        <w:spacing w:before="240" w:after="0" w:line="240" w:lineRule="auto"/>
      </w:pPr>
    </w:p>
    <w:sectPr w:rsidR="00BD17DC" w:rsidSect="00782AF7">
      <w:headerReference w:type="first" r:id="rId17"/>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508D" w14:textId="77777777" w:rsidR="00482496" w:rsidRDefault="00482496" w:rsidP="00782AF7">
      <w:pPr>
        <w:spacing w:after="0" w:line="240" w:lineRule="auto"/>
      </w:pPr>
      <w:r>
        <w:separator/>
      </w:r>
    </w:p>
  </w:endnote>
  <w:endnote w:type="continuationSeparator" w:id="0">
    <w:p w14:paraId="3B26A56A" w14:textId="77777777" w:rsidR="00482496" w:rsidRDefault="00482496" w:rsidP="0078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89AB" w14:textId="77777777" w:rsidR="004A7932" w:rsidRDefault="004A7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B7A7" w14:textId="77777777" w:rsidR="004A7932" w:rsidRDefault="004A7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D5F3" w14:textId="77777777" w:rsidR="004A7932" w:rsidRDefault="004A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DF2D" w14:textId="77777777" w:rsidR="00482496" w:rsidRDefault="00482496" w:rsidP="00782AF7">
      <w:pPr>
        <w:spacing w:after="0" w:line="240" w:lineRule="auto"/>
      </w:pPr>
      <w:r>
        <w:separator/>
      </w:r>
    </w:p>
  </w:footnote>
  <w:footnote w:type="continuationSeparator" w:id="0">
    <w:p w14:paraId="19BC7567" w14:textId="77777777" w:rsidR="00482496" w:rsidRDefault="00482496" w:rsidP="0078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5CDE" w14:textId="77777777" w:rsidR="004A7932" w:rsidRDefault="004A7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A290" w14:textId="74B5D390" w:rsidR="00782AF7" w:rsidRPr="00782AF7" w:rsidRDefault="00782AF7" w:rsidP="00782AF7">
    <w:pPr>
      <w:pStyle w:val="Header"/>
      <w:pBdr>
        <w:bottom w:val="single" w:sz="4" w:space="1" w:color="auto"/>
      </w:pBdr>
      <w:rPr>
        <w:i/>
        <w:iCs/>
        <w:noProof/>
        <w:color w:val="AEAAAA" w:themeColor="background2" w:themeShade="BF"/>
        <w:sz w:val="18"/>
        <w:szCs w:val="18"/>
      </w:rPr>
    </w:pPr>
    <w:r w:rsidRPr="00782AF7">
      <w:rPr>
        <w:i/>
        <w:iCs/>
        <w:color w:val="AEAAAA" w:themeColor="background2" w:themeShade="BF"/>
        <w:sz w:val="18"/>
        <w:szCs w:val="18"/>
      </w:rPr>
      <w:t xml:space="preserve">Quebec </w:t>
    </w:r>
    <w:r w:rsidR="005769A1">
      <w:rPr>
        <w:i/>
        <w:iCs/>
        <w:color w:val="AEAAAA" w:themeColor="background2" w:themeShade="BF"/>
        <w:sz w:val="18"/>
        <w:szCs w:val="18"/>
      </w:rPr>
      <w:t>Silica Resources</w:t>
    </w:r>
    <w:r w:rsidRPr="00782AF7">
      <w:rPr>
        <w:i/>
        <w:iCs/>
        <w:color w:val="AEAAAA" w:themeColor="background2" w:themeShade="BF"/>
        <w:sz w:val="18"/>
        <w:szCs w:val="18"/>
      </w:rPr>
      <w:t xml:space="preserve"> Corp.</w:t>
    </w:r>
    <w:r w:rsidRPr="00782AF7">
      <w:rPr>
        <w:i/>
        <w:iCs/>
        <w:color w:val="AEAAAA" w:themeColor="background2" w:themeShade="BF"/>
        <w:sz w:val="18"/>
        <w:szCs w:val="18"/>
      </w:rPr>
      <w:br/>
      <w:t>Form 45-106F19</w:t>
    </w:r>
    <w:r w:rsidRPr="00782AF7">
      <w:rPr>
        <w:i/>
        <w:iCs/>
        <w:color w:val="AEAAAA" w:themeColor="background2" w:themeShade="BF"/>
        <w:sz w:val="18"/>
        <w:szCs w:val="18"/>
      </w:rPr>
      <w:tab/>
    </w:r>
    <w:r w:rsidRPr="00782AF7">
      <w:rPr>
        <w:i/>
        <w:iCs/>
        <w:color w:val="AEAAAA" w:themeColor="background2" w:themeShade="BF"/>
        <w:sz w:val="18"/>
        <w:szCs w:val="18"/>
      </w:rPr>
      <w:tab/>
      <w:t xml:space="preserve">Page | </w:t>
    </w:r>
    <w:r w:rsidRPr="00782AF7">
      <w:rPr>
        <w:i/>
        <w:iCs/>
        <w:color w:val="AEAAAA" w:themeColor="background2" w:themeShade="BF"/>
        <w:sz w:val="18"/>
        <w:szCs w:val="18"/>
      </w:rPr>
      <w:fldChar w:fldCharType="begin"/>
    </w:r>
    <w:r w:rsidRPr="00782AF7">
      <w:rPr>
        <w:i/>
        <w:iCs/>
        <w:color w:val="AEAAAA" w:themeColor="background2" w:themeShade="BF"/>
        <w:sz w:val="18"/>
        <w:szCs w:val="18"/>
      </w:rPr>
      <w:instrText xml:space="preserve"> PAGE   \* MERGEFORMAT </w:instrText>
    </w:r>
    <w:r w:rsidRPr="00782AF7">
      <w:rPr>
        <w:i/>
        <w:iCs/>
        <w:color w:val="AEAAAA" w:themeColor="background2" w:themeShade="BF"/>
        <w:sz w:val="18"/>
        <w:szCs w:val="18"/>
      </w:rPr>
      <w:fldChar w:fldCharType="separate"/>
    </w:r>
    <w:r w:rsidR="00F71384">
      <w:rPr>
        <w:i/>
        <w:iCs/>
        <w:noProof/>
        <w:color w:val="AEAAAA" w:themeColor="background2" w:themeShade="BF"/>
        <w:sz w:val="18"/>
        <w:szCs w:val="18"/>
      </w:rPr>
      <w:t>6</w:t>
    </w:r>
    <w:r w:rsidRPr="00782AF7">
      <w:rPr>
        <w:i/>
        <w:iCs/>
        <w:noProof/>
        <w:color w:val="AEAAAA" w:themeColor="background2" w:themeShade="BF"/>
        <w:sz w:val="18"/>
        <w:szCs w:val="18"/>
      </w:rPr>
      <w:fldChar w:fldCharType="end"/>
    </w:r>
  </w:p>
  <w:p w14:paraId="6AAE58C9" w14:textId="77777777" w:rsidR="00782AF7" w:rsidRPr="00782AF7" w:rsidRDefault="00782AF7" w:rsidP="00782AF7">
    <w:pPr>
      <w:pStyle w:val="Header"/>
      <w:rPr>
        <w:i/>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DB61" w14:textId="77777777" w:rsidR="004A7932" w:rsidRDefault="004A7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0DD1" w14:textId="7E0A0DB4" w:rsidR="00782AF7" w:rsidRPr="00782AF7" w:rsidRDefault="00782AF7" w:rsidP="00782AF7">
    <w:pPr>
      <w:pStyle w:val="Header"/>
      <w:pBdr>
        <w:bottom w:val="single" w:sz="4" w:space="1" w:color="auto"/>
      </w:pBdr>
      <w:rPr>
        <w:i/>
        <w:iCs/>
        <w:noProof/>
        <w:color w:val="AEAAAA" w:themeColor="background2" w:themeShade="BF"/>
        <w:sz w:val="18"/>
        <w:szCs w:val="18"/>
      </w:rPr>
    </w:pPr>
    <w:r w:rsidRPr="00782AF7">
      <w:rPr>
        <w:i/>
        <w:iCs/>
        <w:color w:val="AEAAAA" w:themeColor="background2" w:themeShade="BF"/>
        <w:sz w:val="18"/>
        <w:szCs w:val="18"/>
      </w:rPr>
      <w:t xml:space="preserve">Quebec </w:t>
    </w:r>
    <w:r w:rsidR="00986F06">
      <w:rPr>
        <w:i/>
        <w:iCs/>
        <w:color w:val="AEAAAA" w:themeColor="background2" w:themeShade="BF"/>
        <w:sz w:val="18"/>
        <w:szCs w:val="18"/>
      </w:rPr>
      <w:t>Silica Resources</w:t>
    </w:r>
    <w:r w:rsidRPr="00782AF7">
      <w:rPr>
        <w:i/>
        <w:iCs/>
        <w:color w:val="AEAAAA" w:themeColor="background2" w:themeShade="BF"/>
        <w:sz w:val="18"/>
        <w:szCs w:val="18"/>
      </w:rPr>
      <w:t xml:space="preserve"> Corp.</w:t>
    </w:r>
    <w:r w:rsidRPr="00782AF7">
      <w:rPr>
        <w:i/>
        <w:iCs/>
        <w:color w:val="AEAAAA" w:themeColor="background2" w:themeShade="BF"/>
        <w:sz w:val="18"/>
        <w:szCs w:val="18"/>
      </w:rPr>
      <w:br/>
      <w:t>Form 45-106F19</w:t>
    </w:r>
    <w:r w:rsidRPr="00782AF7">
      <w:rPr>
        <w:i/>
        <w:iCs/>
        <w:color w:val="AEAAAA" w:themeColor="background2" w:themeShade="BF"/>
        <w:sz w:val="18"/>
        <w:szCs w:val="18"/>
      </w:rPr>
      <w:tab/>
    </w:r>
    <w:r w:rsidRPr="00782AF7">
      <w:rPr>
        <w:i/>
        <w:iCs/>
        <w:color w:val="AEAAAA" w:themeColor="background2" w:themeShade="BF"/>
        <w:sz w:val="18"/>
        <w:szCs w:val="18"/>
      </w:rPr>
      <w:tab/>
      <w:t xml:space="preserve">Page | </w:t>
    </w:r>
    <w:r w:rsidRPr="00782AF7">
      <w:rPr>
        <w:i/>
        <w:iCs/>
        <w:color w:val="AEAAAA" w:themeColor="background2" w:themeShade="BF"/>
        <w:sz w:val="18"/>
        <w:szCs w:val="18"/>
      </w:rPr>
      <w:fldChar w:fldCharType="begin"/>
    </w:r>
    <w:r w:rsidRPr="00782AF7">
      <w:rPr>
        <w:i/>
        <w:iCs/>
        <w:color w:val="AEAAAA" w:themeColor="background2" w:themeShade="BF"/>
        <w:sz w:val="18"/>
        <w:szCs w:val="18"/>
      </w:rPr>
      <w:instrText xml:space="preserve"> PAGE   \* MERGEFORMAT </w:instrText>
    </w:r>
    <w:r w:rsidRPr="00782AF7">
      <w:rPr>
        <w:i/>
        <w:iCs/>
        <w:color w:val="AEAAAA" w:themeColor="background2" w:themeShade="BF"/>
        <w:sz w:val="18"/>
        <w:szCs w:val="18"/>
      </w:rPr>
      <w:fldChar w:fldCharType="separate"/>
    </w:r>
    <w:r w:rsidR="00F71384">
      <w:rPr>
        <w:i/>
        <w:iCs/>
        <w:noProof/>
        <w:color w:val="AEAAAA" w:themeColor="background2" w:themeShade="BF"/>
        <w:sz w:val="18"/>
        <w:szCs w:val="18"/>
      </w:rPr>
      <w:t>4</w:t>
    </w:r>
    <w:r w:rsidRPr="00782AF7">
      <w:rPr>
        <w:i/>
        <w:iCs/>
        <w:noProof/>
        <w:color w:val="AEAAAA" w:themeColor="background2" w:themeShade="BF"/>
        <w:sz w:val="18"/>
        <w:szCs w:val="18"/>
      </w:rPr>
      <w:fldChar w:fldCharType="end"/>
    </w:r>
  </w:p>
  <w:p w14:paraId="416F664C" w14:textId="77777777" w:rsidR="00782AF7" w:rsidRPr="00782AF7" w:rsidRDefault="00782AF7">
    <w:pPr>
      <w:pStyle w:val="Header"/>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A2B"/>
    <w:multiLevelType w:val="hybridMultilevel"/>
    <w:tmpl w:val="17404B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C984F99"/>
    <w:multiLevelType w:val="hybridMultilevel"/>
    <w:tmpl w:val="E6562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02DF4"/>
    <w:multiLevelType w:val="hybridMultilevel"/>
    <w:tmpl w:val="68D63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59484C"/>
    <w:multiLevelType w:val="hybridMultilevel"/>
    <w:tmpl w:val="CF4877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2965B8"/>
    <w:multiLevelType w:val="hybridMultilevel"/>
    <w:tmpl w:val="2C0AD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AC60B8"/>
    <w:multiLevelType w:val="hybridMultilevel"/>
    <w:tmpl w:val="59E6653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EFD1798"/>
    <w:multiLevelType w:val="hybridMultilevel"/>
    <w:tmpl w:val="88BAC24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9B114E"/>
    <w:multiLevelType w:val="hybridMultilevel"/>
    <w:tmpl w:val="047C68F2"/>
    <w:lvl w:ilvl="0" w:tplc="F7E809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BD72AA"/>
    <w:multiLevelType w:val="hybridMultilevel"/>
    <w:tmpl w:val="4E7E8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7533604">
    <w:abstractNumId w:val="4"/>
  </w:num>
  <w:num w:numId="2" w16cid:durableId="1408041313">
    <w:abstractNumId w:val="7"/>
  </w:num>
  <w:num w:numId="3" w16cid:durableId="2034575797">
    <w:abstractNumId w:val="6"/>
  </w:num>
  <w:num w:numId="4" w16cid:durableId="1051272528">
    <w:abstractNumId w:val="3"/>
  </w:num>
  <w:num w:numId="5" w16cid:durableId="1560483102">
    <w:abstractNumId w:val="0"/>
  </w:num>
  <w:num w:numId="6" w16cid:durableId="2145808156">
    <w:abstractNumId w:val="5"/>
  </w:num>
  <w:num w:numId="7" w16cid:durableId="862208351">
    <w:abstractNumId w:val="8"/>
  </w:num>
  <w:num w:numId="8" w16cid:durableId="1294360883">
    <w:abstractNumId w:val="2"/>
  </w:num>
  <w:num w:numId="9" w16cid:durableId="838273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3NjI1MzAxNTUxNTZW0lEKTi0uzszPAykwqgUAWveN3ywAAAA="/>
  </w:docVars>
  <w:rsids>
    <w:rsidRoot w:val="002C0B4E"/>
    <w:rsid w:val="000038FB"/>
    <w:rsid w:val="000112D2"/>
    <w:rsid w:val="00013C5C"/>
    <w:rsid w:val="0006277A"/>
    <w:rsid w:val="00075E13"/>
    <w:rsid w:val="00076CE2"/>
    <w:rsid w:val="000858C3"/>
    <w:rsid w:val="000954DB"/>
    <w:rsid w:val="000A5F49"/>
    <w:rsid w:val="000E76FD"/>
    <w:rsid w:val="000F619B"/>
    <w:rsid w:val="001221C1"/>
    <w:rsid w:val="00122834"/>
    <w:rsid w:val="001267E6"/>
    <w:rsid w:val="00130905"/>
    <w:rsid w:val="001346C3"/>
    <w:rsid w:val="0016289F"/>
    <w:rsid w:val="0017174C"/>
    <w:rsid w:val="00176CF4"/>
    <w:rsid w:val="0017793D"/>
    <w:rsid w:val="001849C4"/>
    <w:rsid w:val="00195742"/>
    <w:rsid w:val="001A6C76"/>
    <w:rsid w:val="001B1177"/>
    <w:rsid w:val="001B4463"/>
    <w:rsid w:val="001D527E"/>
    <w:rsid w:val="001E407A"/>
    <w:rsid w:val="00203463"/>
    <w:rsid w:val="00203A46"/>
    <w:rsid w:val="00206FA3"/>
    <w:rsid w:val="00227935"/>
    <w:rsid w:val="00234F54"/>
    <w:rsid w:val="00235B97"/>
    <w:rsid w:val="002365F8"/>
    <w:rsid w:val="00237D8C"/>
    <w:rsid w:val="00255E50"/>
    <w:rsid w:val="00255E7A"/>
    <w:rsid w:val="00257CCA"/>
    <w:rsid w:val="002655B6"/>
    <w:rsid w:val="00275D85"/>
    <w:rsid w:val="00277172"/>
    <w:rsid w:val="002A5819"/>
    <w:rsid w:val="002B505B"/>
    <w:rsid w:val="002B6C49"/>
    <w:rsid w:val="002C05C8"/>
    <w:rsid w:val="002C0B4E"/>
    <w:rsid w:val="002C3B6F"/>
    <w:rsid w:val="002D41A4"/>
    <w:rsid w:val="002E1C8A"/>
    <w:rsid w:val="002E577C"/>
    <w:rsid w:val="00305AAA"/>
    <w:rsid w:val="00316116"/>
    <w:rsid w:val="003239FD"/>
    <w:rsid w:val="00330EAE"/>
    <w:rsid w:val="00362CD1"/>
    <w:rsid w:val="00377880"/>
    <w:rsid w:val="003C1A22"/>
    <w:rsid w:val="003C1E7E"/>
    <w:rsid w:val="003C5C9C"/>
    <w:rsid w:val="003D3185"/>
    <w:rsid w:val="003D3F70"/>
    <w:rsid w:val="003E206B"/>
    <w:rsid w:val="00412C0D"/>
    <w:rsid w:val="00414182"/>
    <w:rsid w:val="00434184"/>
    <w:rsid w:val="00466CE9"/>
    <w:rsid w:val="0047290E"/>
    <w:rsid w:val="00482496"/>
    <w:rsid w:val="00484DD2"/>
    <w:rsid w:val="00496961"/>
    <w:rsid w:val="004A7932"/>
    <w:rsid w:val="004B78D6"/>
    <w:rsid w:val="004D78AC"/>
    <w:rsid w:val="004E30C5"/>
    <w:rsid w:val="004E4814"/>
    <w:rsid w:val="004F0690"/>
    <w:rsid w:val="004F2AF9"/>
    <w:rsid w:val="00506312"/>
    <w:rsid w:val="00511223"/>
    <w:rsid w:val="005239C2"/>
    <w:rsid w:val="00524E5F"/>
    <w:rsid w:val="00535A73"/>
    <w:rsid w:val="00537D55"/>
    <w:rsid w:val="0054256D"/>
    <w:rsid w:val="00565A12"/>
    <w:rsid w:val="005769A1"/>
    <w:rsid w:val="0058025E"/>
    <w:rsid w:val="005B03D3"/>
    <w:rsid w:val="005B24EA"/>
    <w:rsid w:val="005B34D8"/>
    <w:rsid w:val="005E0DE1"/>
    <w:rsid w:val="005E1316"/>
    <w:rsid w:val="005F6A7E"/>
    <w:rsid w:val="00616086"/>
    <w:rsid w:val="006216BB"/>
    <w:rsid w:val="00653EC5"/>
    <w:rsid w:val="00655F73"/>
    <w:rsid w:val="0067204E"/>
    <w:rsid w:val="006755DA"/>
    <w:rsid w:val="0067779C"/>
    <w:rsid w:val="00680DF6"/>
    <w:rsid w:val="006A44DB"/>
    <w:rsid w:val="006B00E0"/>
    <w:rsid w:val="006B2584"/>
    <w:rsid w:val="006C3C66"/>
    <w:rsid w:val="006E6BF8"/>
    <w:rsid w:val="006F5D9B"/>
    <w:rsid w:val="00717B79"/>
    <w:rsid w:val="007303CF"/>
    <w:rsid w:val="00736BB7"/>
    <w:rsid w:val="00751976"/>
    <w:rsid w:val="007719E9"/>
    <w:rsid w:val="00773D25"/>
    <w:rsid w:val="00782AF7"/>
    <w:rsid w:val="00784083"/>
    <w:rsid w:val="00787508"/>
    <w:rsid w:val="007938A3"/>
    <w:rsid w:val="007D67B2"/>
    <w:rsid w:val="007F6809"/>
    <w:rsid w:val="00862CBF"/>
    <w:rsid w:val="00865BDE"/>
    <w:rsid w:val="00866544"/>
    <w:rsid w:val="00872E8B"/>
    <w:rsid w:val="008839F9"/>
    <w:rsid w:val="00887641"/>
    <w:rsid w:val="00895CBF"/>
    <w:rsid w:val="008A27F0"/>
    <w:rsid w:val="008B0711"/>
    <w:rsid w:val="008C02F1"/>
    <w:rsid w:val="008C57E2"/>
    <w:rsid w:val="008C6CB8"/>
    <w:rsid w:val="008D21B6"/>
    <w:rsid w:val="008E697C"/>
    <w:rsid w:val="008F10F0"/>
    <w:rsid w:val="00903ACE"/>
    <w:rsid w:val="00906FFE"/>
    <w:rsid w:val="00910E5B"/>
    <w:rsid w:val="0092006C"/>
    <w:rsid w:val="00925B97"/>
    <w:rsid w:val="00931A45"/>
    <w:rsid w:val="00944B1B"/>
    <w:rsid w:val="00945130"/>
    <w:rsid w:val="0095136A"/>
    <w:rsid w:val="009556D0"/>
    <w:rsid w:val="00956DE3"/>
    <w:rsid w:val="0095755F"/>
    <w:rsid w:val="00964B3C"/>
    <w:rsid w:val="00970704"/>
    <w:rsid w:val="009708B2"/>
    <w:rsid w:val="00986F06"/>
    <w:rsid w:val="009A08BA"/>
    <w:rsid w:val="009A158A"/>
    <w:rsid w:val="009A294E"/>
    <w:rsid w:val="009A705D"/>
    <w:rsid w:val="009B46A2"/>
    <w:rsid w:val="009F3C5E"/>
    <w:rsid w:val="00A21199"/>
    <w:rsid w:val="00A46E04"/>
    <w:rsid w:val="00A5523B"/>
    <w:rsid w:val="00A6037A"/>
    <w:rsid w:val="00A65121"/>
    <w:rsid w:val="00A66F93"/>
    <w:rsid w:val="00A67C87"/>
    <w:rsid w:val="00A73E6C"/>
    <w:rsid w:val="00A745EF"/>
    <w:rsid w:val="00A766F7"/>
    <w:rsid w:val="00A870CC"/>
    <w:rsid w:val="00A924FA"/>
    <w:rsid w:val="00AA0788"/>
    <w:rsid w:val="00AB6563"/>
    <w:rsid w:val="00AC6BA4"/>
    <w:rsid w:val="00AD2056"/>
    <w:rsid w:val="00AF3769"/>
    <w:rsid w:val="00AF70C4"/>
    <w:rsid w:val="00B232E7"/>
    <w:rsid w:val="00B2338E"/>
    <w:rsid w:val="00B27C3A"/>
    <w:rsid w:val="00B34FC0"/>
    <w:rsid w:val="00B46017"/>
    <w:rsid w:val="00B46291"/>
    <w:rsid w:val="00B70E04"/>
    <w:rsid w:val="00B80A16"/>
    <w:rsid w:val="00B83B6A"/>
    <w:rsid w:val="00B90FE1"/>
    <w:rsid w:val="00B93D51"/>
    <w:rsid w:val="00B954FF"/>
    <w:rsid w:val="00BB30BB"/>
    <w:rsid w:val="00BC2A6B"/>
    <w:rsid w:val="00BD17DC"/>
    <w:rsid w:val="00BD2836"/>
    <w:rsid w:val="00BD59A2"/>
    <w:rsid w:val="00BD5D6C"/>
    <w:rsid w:val="00BF24AB"/>
    <w:rsid w:val="00BF3179"/>
    <w:rsid w:val="00C00EE1"/>
    <w:rsid w:val="00C16AAA"/>
    <w:rsid w:val="00C201B8"/>
    <w:rsid w:val="00C25B50"/>
    <w:rsid w:val="00C47CA4"/>
    <w:rsid w:val="00C57316"/>
    <w:rsid w:val="00C61214"/>
    <w:rsid w:val="00C616AC"/>
    <w:rsid w:val="00C628B0"/>
    <w:rsid w:val="00C75385"/>
    <w:rsid w:val="00C77D12"/>
    <w:rsid w:val="00C806D7"/>
    <w:rsid w:val="00C96313"/>
    <w:rsid w:val="00C9645E"/>
    <w:rsid w:val="00CB57AA"/>
    <w:rsid w:val="00CC35A4"/>
    <w:rsid w:val="00CC6ED8"/>
    <w:rsid w:val="00CF1DC9"/>
    <w:rsid w:val="00CF5E7B"/>
    <w:rsid w:val="00D0249B"/>
    <w:rsid w:val="00D03C65"/>
    <w:rsid w:val="00D0791B"/>
    <w:rsid w:val="00D11C13"/>
    <w:rsid w:val="00D53C9D"/>
    <w:rsid w:val="00D73385"/>
    <w:rsid w:val="00D802AB"/>
    <w:rsid w:val="00D83960"/>
    <w:rsid w:val="00D868D6"/>
    <w:rsid w:val="00D87B87"/>
    <w:rsid w:val="00D97696"/>
    <w:rsid w:val="00DB4C45"/>
    <w:rsid w:val="00DC3303"/>
    <w:rsid w:val="00DD40B0"/>
    <w:rsid w:val="00DD6107"/>
    <w:rsid w:val="00DF0757"/>
    <w:rsid w:val="00E00F9A"/>
    <w:rsid w:val="00E0258F"/>
    <w:rsid w:val="00E16FCD"/>
    <w:rsid w:val="00E20A1A"/>
    <w:rsid w:val="00E530D4"/>
    <w:rsid w:val="00E562AB"/>
    <w:rsid w:val="00E63A96"/>
    <w:rsid w:val="00E664C2"/>
    <w:rsid w:val="00E66D64"/>
    <w:rsid w:val="00E67665"/>
    <w:rsid w:val="00E76975"/>
    <w:rsid w:val="00E84638"/>
    <w:rsid w:val="00E91621"/>
    <w:rsid w:val="00EA1FA6"/>
    <w:rsid w:val="00EA62E9"/>
    <w:rsid w:val="00EC3F1F"/>
    <w:rsid w:val="00EC6997"/>
    <w:rsid w:val="00ED6BCB"/>
    <w:rsid w:val="00EF4ED2"/>
    <w:rsid w:val="00EF5ADC"/>
    <w:rsid w:val="00F236F9"/>
    <w:rsid w:val="00F245ED"/>
    <w:rsid w:val="00F30625"/>
    <w:rsid w:val="00F31798"/>
    <w:rsid w:val="00F3187E"/>
    <w:rsid w:val="00F46466"/>
    <w:rsid w:val="00F64E83"/>
    <w:rsid w:val="00F71384"/>
    <w:rsid w:val="00F81DD1"/>
    <w:rsid w:val="00F92803"/>
    <w:rsid w:val="00FA2664"/>
    <w:rsid w:val="00FA484C"/>
    <w:rsid w:val="00FD0641"/>
    <w:rsid w:val="00FD11C8"/>
    <w:rsid w:val="00FD4B0B"/>
    <w:rsid w:val="00FE70F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497A"/>
  <w15:chartTrackingRefBased/>
  <w15:docId w15:val="{63CBCF8A-7E8A-4033-B880-4EED3FD5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4C4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4E"/>
    <w:pPr>
      <w:ind w:left="720"/>
      <w:contextualSpacing/>
    </w:pPr>
  </w:style>
  <w:style w:type="table" w:styleId="TableGrid">
    <w:name w:val="Table Grid"/>
    <w:basedOn w:val="TableNormal"/>
    <w:uiPriority w:val="39"/>
    <w:rsid w:val="00B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AF7"/>
  </w:style>
  <w:style w:type="paragraph" w:styleId="Footer">
    <w:name w:val="footer"/>
    <w:basedOn w:val="Normal"/>
    <w:link w:val="FooterChar"/>
    <w:uiPriority w:val="99"/>
    <w:unhideWhenUsed/>
    <w:rsid w:val="0078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AF7"/>
  </w:style>
  <w:style w:type="character" w:styleId="Hyperlink">
    <w:name w:val="Hyperlink"/>
    <w:basedOn w:val="DefaultParagraphFont"/>
    <w:uiPriority w:val="99"/>
    <w:unhideWhenUsed/>
    <w:rsid w:val="00784083"/>
    <w:rPr>
      <w:color w:val="0563C1" w:themeColor="hyperlink"/>
      <w:u w:val="single"/>
    </w:rPr>
  </w:style>
  <w:style w:type="character" w:customStyle="1" w:styleId="UnresolvedMention1">
    <w:name w:val="Unresolved Mention1"/>
    <w:basedOn w:val="DefaultParagraphFont"/>
    <w:uiPriority w:val="99"/>
    <w:semiHidden/>
    <w:unhideWhenUsed/>
    <w:rsid w:val="00E530D4"/>
    <w:rPr>
      <w:color w:val="605E5C"/>
      <w:shd w:val="clear" w:color="auto" w:fill="E1DFDD"/>
    </w:rPr>
  </w:style>
  <w:style w:type="paragraph" w:customStyle="1" w:styleId="MediumGrid21">
    <w:name w:val="Medium Grid 21"/>
    <w:uiPriority w:val="1"/>
    <w:qFormat/>
    <w:rsid w:val="000112D2"/>
    <w:pPr>
      <w:spacing w:after="0" w:line="240" w:lineRule="auto"/>
    </w:pPr>
    <w:rPr>
      <w:rFonts w:ascii="Times New Roman" w:eastAsia="Times New Roman" w:hAnsi="Times New Roman" w:cs="Times New Roman"/>
      <w:sz w:val="20"/>
      <w:szCs w:val="20"/>
      <w:lang w:val="en-US"/>
    </w:rPr>
  </w:style>
  <w:style w:type="paragraph" w:styleId="Revision">
    <w:name w:val="Revision"/>
    <w:hidden/>
    <w:uiPriority w:val="99"/>
    <w:semiHidden/>
    <w:rsid w:val="00BD59A2"/>
    <w:pPr>
      <w:spacing w:after="0" w:line="240" w:lineRule="auto"/>
    </w:pPr>
  </w:style>
  <w:style w:type="character" w:styleId="CommentReference">
    <w:name w:val="annotation reference"/>
    <w:basedOn w:val="DefaultParagraphFont"/>
    <w:uiPriority w:val="99"/>
    <w:semiHidden/>
    <w:unhideWhenUsed/>
    <w:rsid w:val="007303CF"/>
    <w:rPr>
      <w:sz w:val="16"/>
      <w:szCs w:val="16"/>
    </w:rPr>
  </w:style>
  <w:style w:type="paragraph" w:styleId="CommentText">
    <w:name w:val="annotation text"/>
    <w:basedOn w:val="Normal"/>
    <w:link w:val="CommentTextChar"/>
    <w:uiPriority w:val="99"/>
    <w:unhideWhenUsed/>
    <w:rsid w:val="007303CF"/>
    <w:pPr>
      <w:spacing w:line="240" w:lineRule="auto"/>
    </w:pPr>
    <w:rPr>
      <w:sz w:val="20"/>
      <w:szCs w:val="20"/>
    </w:rPr>
  </w:style>
  <w:style w:type="character" w:customStyle="1" w:styleId="CommentTextChar">
    <w:name w:val="Comment Text Char"/>
    <w:basedOn w:val="DefaultParagraphFont"/>
    <w:link w:val="CommentText"/>
    <w:uiPriority w:val="99"/>
    <w:rsid w:val="007303CF"/>
    <w:rPr>
      <w:sz w:val="20"/>
      <w:szCs w:val="20"/>
    </w:rPr>
  </w:style>
  <w:style w:type="paragraph" w:styleId="CommentSubject">
    <w:name w:val="annotation subject"/>
    <w:basedOn w:val="CommentText"/>
    <w:next w:val="CommentText"/>
    <w:link w:val="CommentSubjectChar"/>
    <w:uiPriority w:val="99"/>
    <w:semiHidden/>
    <w:unhideWhenUsed/>
    <w:rsid w:val="007303CF"/>
    <w:rPr>
      <w:b/>
      <w:bCs/>
    </w:rPr>
  </w:style>
  <w:style w:type="character" w:customStyle="1" w:styleId="CommentSubjectChar">
    <w:name w:val="Comment Subject Char"/>
    <w:basedOn w:val="CommentTextChar"/>
    <w:link w:val="CommentSubject"/>
    <w:uiPriority w:val="99"/>
    <w:semiHidden/>
    <w:rsid w:val="007303CF"/>
    <w:rPr>
      <w:b/>
      <w:bCs/>
      <w:sz w:val="20"/>
      <w:szCs w:val="20"/>
    </w:rPr>
  </w:style>
  <w:style w:type="character" w:styleId="Strong">
    <w:name w:val="Strong"/>
    <w:basedOn w:val="DefaultParagraphFont"/>
    <w:uiPriority w:val="22"/>
    <w:qFormat/>
    <w:rsid w:val="006F5D9B"/>
    <w:rPr>
      <w:b/>
      <w:bCs/>
    </w:rPr>
  </w:style>
  <w:style w:type="character" w:customStyle="1" w:styleId="Heading3Char">
    <w:name w:val="Heading 3 Char"/>
    <w:basedOn w:val="DefaultParagraphFont"/>
    <w:link w:val="Heading3"/>
    <w:uiPriority w:val="9"/>
    <w:rsid w:val="00DB4C45"/>
    <w:rPr>
      <w:rFonts w:ascii="Times New Roman" w:eastAsia="Times New Roman" w:hAnsi="Times New Roman" w:cs="Times New Roman"/>
      <w:b/>
      <w:bCs/>
      <w:sz w:val="27"/>
      <w:szCs w:val="27"/>
      <w:lang w:eastAsia="en-CA"/>
    </w:rPr>
  </w:style>
  <w:style w:type="paragraph" w:styleId="List">
    <w:name w:val="List"/>
    <w:basedOn w:val="BodyText"/>
    <w:rsid w:val="00275D85"/>
    <w:pPr>
      <w:spacing w:before="240" w:after="0" w:line="240" w:lineRule="auto"/>
      <w:ind w:left="1080" w:hanging="1080"/>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275D85"/>
    <w:pPr>
      <w:spacing w:after="120"/>
    </w:pPr>
  </w:style>
  <w:style w:type="character" w:customStyle="1" w:styleId="BodyTextChar">
    <w:name w:val="Body Text Char"/>
    <w:basedOn w:val="DefaultParagraphFont"/>
    <w:link w:val="BodyText"/>
    <w:uiPriority w:val="99"/>
    <w:semiHidden/>
    <w:rsid w:val="0027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47859">
      <w:bodyDiv w:val="1"/>
      <w:marLeft w:val="0"/>
      <w:marRight w:val="0"/>
      <w:marTop w:val="0"/>
      <w:marBottom w:val="0"/>
      <w:divBdr>
        <w:top w:val="none" w:sz="0" w:space="0" w:color="auto"/>
        <w:left w:val="none" w:sz="0" w:space="0" w:color="auto"/>
        <w:bottom w:val="none" w:sz="0" w:space="0" w:color="auto"/>
        <w:right w:val="none" w:sz="0" w:space="0" w:color="auto"/>
      </w:divBdr>
    </w:div>
    <w:div w:id="9965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quebecsilic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edar.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 C A N A D A _ E A S T ! 1 2 0 2 7 6 2 6 9 . 2 < / d o c u m e n t i d >  
     < s e n d e r i d > K O S T I C K < / s e n d e r i d >  
     < s e n d e r e m a i l > K K O S T I C @ F A S K E N . C O M < / s e n d e r e m a i l >  
     < l a s t m o d i f i e d > 2 0 2 2 - 1 2 - 1 2 T 1 7 : 2 4 : 0 0 . 0 0 0 0 0 0 0 - 0 5 : 0 0 < / l a s t m o d i f i e d >  
     < d a t a b a s e > C A N A D A _ E A S T < / 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3C88-251E-F54E-B6C3-4B65BD53BB97}">
  <ds:schemaRefs>
    <ds:schemaRef ds:uri="http://www.imanage.com/work/xmlschema"/>
  </ds:schemaRefs>
</ds:datastoreItem>
</file>

<file path=customXml/itemProps2.xml><?xml version="1.0" encoding="utf-8"?>
<ds:datastoreItem xmlns:ds="http://schemas.openxmlformats.org/officeDocument/2006/customXml" ds:itemID="{2DF92948-8C71-48AC-B91C-2F5405B8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Elyssia Patterson</cp:lastModifiedBy>
  <cp:revision>2</cp:revision>
  <cp:lastPrinted>2022-11-23T22:07:00Z</cp:lastPrinted>
  <dcterms:created xsi:type="dcterms:W3CDTF">2022-12-12T23:29:00Z</dcterms:created>
  <dcterms:modified xsi:type="dcterms:W3CDTF">2022-12-12T23:29:00Z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iManageFooter">
    <vt:lpwstr>#120276269v2&lt;CANADA_EAST&gt; - QTZ Offering Document 45-106F19 (Dec 2022)</vt:lpwstr>
  </property>
</Properties>
</file>